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eastAsia="黑体" w:cs="Times New Roman"/>
          <w:sz w:val="72"/>
          <w:szCs w:val="72"/>
        </w:rPr>
      </w:pPr>
    </w:p>
    <w:p>
      <w:pPr>
        <w:jc w:val="center"/>
        <w:rPr>
          <w:rFonts w:ascii="Times New Roman" w:hAnsi="Times New Roman" w:eastAsia="黑体" w:cs="Times New Roman"/>
          <w:sz w:val="72"/>
          <w:szCs w:val="72"/>
        </w:rPr>
      </w:pPr>
    </w:p>
    <w:p>
      <w:pPr>
        <w:jc w:val="center"/>
        <w:rPr>
          <w:rFonts w:ascii="Times New Roman" w:hAnsi="Times New Roman" w:eastAsia="黑体" w:cs="Times New Roman"/>
          <w:sz w:val="72"/>
          <w:szCs w:val="72"/>
        </w:rPr>
      </w:pPr>
    </w:p>
    <w:p>
      <w:pPr>
        <w:jc w:val="center"/>
        <w:rPr>
          <w:rFonts w:ascii="Times New Roman" w:hAnsi="Times New Roman" w:eastAsia="黑体" w:cs="Times New Roman"/>
          <w:sz w:val="72"/>
          <w:szCs w:val="72"/>
        </w:rPr>
      </w:pPr>
      <w:bookmarkStart w:id="165" w:name="_GoBack"/>
      <w:bookmarkEnd w:id="165"/>
    </w:p>
    <w:p>
      <w:pPr>
        <w:jc w:val="center"/>
        <w:rPr>
          <w:rFonts w:ascii="Times New Roman" w:hAnsi="Times New Roman" w:eastAsia="黑体" w:cs="Times New Roman"/>
          <w:sz w:val="64"/>
          <w:szCs w:val="64"/>
        </w:rPr>
      </w:pPr>
      <w:r>
        <w:rPr>
          <w:rFonts w:ascii="Times New Roman" w:hAnsi="Times New Roman" w:eastAsia="黑体" w:cs="Times New Roman"/>
          <w:sz w:val="64"/>
          <w:szCs w:val="64"/>
        </w:rPr>
        <w:t>韶关市绿色建筑与绿色建材产业发展规划研究</w:t>
      </w: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pStyle w:val="2"/>
        <w:rPr>
          <w:rFonts w:hint="default"/>
        </w:rPr>
      </w:pPr>
    </w:p>
    <w:p>
      <w:pPr>
        <w:pStyle w:val="2"/>
        <w:rPr>
          <w:rFonts w:hint="default"/>
        </w:rPr>
      </w:pPr>
    </w:p>
    <w:p>
      <w:pPr>
        <w:pStyle w:val="2"/>
        <w:rPr>
          <w:rFonts w:hint="default"/>
        </w:rPr>
      </w:pPr>
    </w:p>
    <w:p>
      <w:pPr>
        <w:pStyle w:val="2"/>
        <w:rPr>
          <w:rFonts w:hint="default"/>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jc w:val="center"/>
        <w:rPr>
          <w:rFonts w:ascii="Times New Roman" w:hAnsi="Times New Roman" w:cs="Times New Roman"/>
          <w:b/>
          <w:bCs/>
          <w:sz w:val="36"/>
          <w:szCs w:val="36"/>
        </w:rPr>
      </w:pPr>
    </w:p>
    <w:p>
      <w:pPr>
        <w:jc w:val="center"/>
        <w:rPr>
          <w:rFonts w:ascii="Times New Roman" w:hAnsi="Times New Roman" w:cs="Times New Roman"/>
          <w:b/>
          <w:bCs/>
          <w:sz w:val="36"/>
          <w:szCs w:val="36"/>
        </w:rPr>
      </w:pPr>
      <w:r>
        <w:rPr>
          <w:rFonts w:ascii="Times New Roman" w:hAnsi="Times New Roman" w:cs="Times New Roman"/>
          <w:b/>
          <w:bCs/>
          <w:sz w:val="36"/>
          <w:szCs w:val="36"/>
        </w:rPr>
        <w:t>广东省建筑科学研究院集团股份有限公司</w:t>
      </w:r>
    </w:p>
    <w:p>
      <w:pPr>
        <w:rPr>
          <w:rFonts w:ascii="Times New Roman" w:hAnsi="Times New Roman" w:cs="Times New Roman"/>
        </w:rPr>
      </w:pPr>
    </w:p>
    <w:p>
      <w:pPr>
        <w:jc w:val="center"/>
        <w:rPr>
          <w:rFonts w:ascii="Times New Roman" w:hAnsi="Times New Roman" w:cs="Times New Roman"/>
          <w:b/>
          <w:bCs/>
          <w:sz w:val="32"/>
          <w:szCs w:val="32"/>
        </w:rPr>
      </w:pPr>
      <w:r>
        <w:rPr>
          <w:rFonts w:ascii="Times New Roman" w:hAnsi="Times New Roman" w:cs="Times New Roman"/>
          <w:b/>
          <w:bCs/>
          <w:sz w:val="32"/>
          <w:szCs w:val="32"/>
        </w:rPr>
        <w:t>二〇二二年</w:t>
      </w:r>
      <w:r>
        <w:rPr>
          <w:rFonts w:hint="eastAsia" w:ascii="Times New Roman" w:hAnsi="Times New Roman" w:cs="Times New Roman"/>
          <w:b/>
          <w:bCs/>
          <w:sz w:val="32"/>
          <w:szCs w:val="32"/>
        </w:rPr>
        <w:t>十</w:t>
      </w:r>
      <w:r>
        <w:rPr>
          <w:rFonts w:ascii="Times New Roman" w:hAnsi="Times New Roman" w:cs="Times New Roman"/>
          <w:b/>
          <w:bCs/>
          <w:sz w:val="32"/>
          <w:szCs w:val="32"/>
        </w:rPr>
        <w:t>月</w:t>
      </w:r>
    </w:p>
    <w:p>
      <w:pPr>
        <w:pStyle w:val="2"/>
        <w:rPr>
          <w:rFonts w:hint="default" w:ascii="Times New Roman" w:hAnsi="Times New Roman" w:cs="Times New Roman"/>
          <w:sz w:val="28"/>
          <w:szCs w:val="36"/>
        </w:rPr>
        <w:sectPr>
          <w:footerReference r:id="rId3" w:type="default"/>
          <w:pgSz w:w="11906" w:h="16838"/>
          <w:pgMar w:top="1440" w:right="1800" w:bottom="1440" w:left="1800" w:header="851" w:footer="992" w:gutter="0"/>
          <w:pgNumType w:start="1"/>
          <w:cols w:space="425" w:num="1"/>
          <w:docGrid w:type="lines" w:linePitch="312" w:charSpace="0"/>
        </w:sectPr>
      </w:pPr>
    </w:p>
    <w:p>
      <w:pPr>
        <w:pStyle w:val="2"/>
        <w:jc w:val="center"/>
        <w:rPr>
          <w:rFonts w:hint="default" w:ascii="Times New Roman" w:hAnsi="Times New Roman" w:cs="Times New Roman"/>
          <w:sz w:val="32"/>
          <w:szCs w:val="32"/>
        </w:rPr>
      </w:pPr>
    </w:p>
    <w:p>
      <w:pPr>
        <w:pStyle w:val="2"/>
        <w:jc w:val="center"/>
        <w:rPr>
          <w:rFonts w:hint="default" w:ascii="Times New Roman" w:hAnsi="Times New Roman" w:cs="Times New Roman"/>
          <w:b/>
          <w:bCs/>
          <w:sz w:val="32"/>
          <w:szCs w:val="32"/>
        </w:rPr>
      </w:pPr>
      <w:r>
        <w:rPr>
          <w:rFonts w:hint="default" w:ascii="Times New Roman" w:hAnsi="Times New Roman" w:cs="Times New Roman"/>
          <w:b/>
          <w:bCs/>
          <w:sz w:val="32"/>
          <w:szCs w:val="32"/>
        </w:rPr>
        <w:t>目  录</w:t>
      </w:r>
    </w:p>
    <w:p>
      <w:pPr>
        <w:pStyle w:val="2"/>
        <w:spacing w:line="360" w:lineRule="auto"/>
        <w:rPr>
          <w:rFonts w:hint="default" w:ascii="Times New Roman" w:hAnsi="Times New Roman" w:cs="Times New Roman" w:eastAsiaTheme="minorEastAsia"/>
          <w:sz w:val="28"/>
          <w:szCs w:val="28"/>
        </w:rPr>
      </w:pPr>
    </w:p>
    <w:p>
      <w:pPr>
        <w:pStyle w:val="13"/>
        <w:tabs>
          <w:tab w:val="right" w:leader="dot" w:pos="8296"/>
        </w:tabs>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TOC \o "1-2" \h \u </w:instrText>
      </w:r>
      <w:r>
        <w:rPr>
          <w:rFonts w:ascii="Times New Roman" w:hAnsi="Times New Roman" w:eastAsia="宋体" w:cs="Times New Roman"/>
          <w:sz w:val="28"/>
          <w:szCs w:val="28"/>
        </w:rPr>
        <w:fldChar w:fldCharType="separate"/>
      </w:r>
      <w:r>
        <w:fldChar w:fldCharType="begin"/>
      </w:r>
      <w:r>
        <w:instrText xml:space="preserve"> HYPERLINK \l "_Toc116399584" </w:instrText>
      </w:r>
      <w:r>
        <w:fldChar w:fldCharType="separate"/>
      </w:r>
      <w:r>
        <w:rPr>
          <w:rStyle w:val="23"/>
          <w:rFonts w:hint="eastAsia" w:ascii="Times New Roman" w:hAnsi="Times New Roman" w:eastAsia="宋体" w:cs="Times New Roman"/>
          <w:sz w:val="28"/>
          <w:szCs w:val="28"/>
        </w:rPr>
        <w:t>第一章</w:t>
      </w:r>
      <w:r>
        <w:rPr>
          <w:rStyle w:val="23"/>
          <w:rFonts w:ascii="Times New Roman" w:hAnsi="Times New Roman" w:eastAsia="宋体" w:cs="Times New Roman"/>
          <w:sz w:val="28"/>
          <w:szCs w:val="28"/>
        </w:rPr>
        <w:t xml:space="preserve"> </w:t>
      </w:r>
      <w:r>
        <w:rPr>
          <w:rStyle w:val="23"/>
          <w:rFonts w:hint="eastAsia" w:ascii="Times New Roman" w:hAnsi="Times New Roman" w:eastAsia="宋体" w:cs="Times New Roman"/>
          <w:sz w:val="28"/>
          <w:szCs w:val="28"/>
        </w:rPr>
        <w:t>总论</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_Toc116399584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"_Toc116399585" </w:instrText>
      </w:r>
      <w:r>
        <w:fldChar w:fldCharType="separate"/>
      </w:r>
      <w:r>
        <w:rPr>
          <w:rStyle w:val="23"/>
          <w:rFonts w:ascii="Times New Roman" w:hAnsi="Times New Roman" w:eastAsia="宋体" w:cs="Times New Roman"/>
          <w:sz w:val="28"/>
          <w:szCs w:val="28"/>
        </w:rPr>
        <w:t xml:space="preserve">1.1 </w:t>
      </w:r>
      <w:r>
        <w:rPr>
          <w:rStyle w:val="23"/>
          <w:rFonts w:hint="eastAsia" w:ascii="Times New Roman" w:hAnsi="Times New Roman" w:eastAsia="宋体" w:cs="Times New Roman"/>
          <w:sz w:val="28"/>
          <w:szCs w:val="28"/>
        </w:rPr>
        <w:t>国内绿色建筑发展现状与趋势</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_Toc116399585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"_Toc116399586" </w:instrText>
      </w:r>
      <w:r>
        <w:fldChar w:fldCharType="separate"/>
      </w:r>
      <w:r>
        <w:rPr>
          <w:rStyle w:val="23"/>
          <w:rFonts w:ascii="Times New Roman" w:hAnsi="Times New Roman" w:eastAsia="宋体" w:cs="Times New Roman"/>
          <w:sz w:val="28"/>
          <w:szCs w:val="28"/>
        </w:rPr>
        <w:t xml:space="preserve">1.2 </w:t>
      </w:r>
      <w:r>
        <w:rPr>
          <w:rStyle w:val="23"/>
          <w:rFonts w:hint="eastAsia" w:ascii="Times New Roman" w:hAnsi="Times New Roman" w:eastAsia="宋体" w:cs="Times New Roman"/>
          <w:sz w:val="28"/>
          <w:szCs w:val="28"/>
        </w:rPr>
        <w:t>国内绿色建材发展现状和趋势</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_Toc116399586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"_Toc116399587" </w:instrText>
      </w:r>
      <w:r>
        <w:fldChar w:fldCharType="separate"/>
      </w:r>
      <w:r>
        <w:rPr>
          <w:rStyle w:val="23"/>
          <w:rFonts w:ascii="Times New Roman" w:hAnsi="Times New Roman" w:eastAsia="宋体" w:cs="Times New Roman"/>
          <w:sz w:val="28"/>
          <w:szCs w:val="28"/>
        </w:rPr>
        <w:t xml:space="preserve">1.3 </w:t>
      </w:r>
      <w:r>
        <w:rPr>
          <w:rStyle w:val="23"/>
          <w:rFonts w:hint="eastAsia" w:ascii="Times New Roman" w:hAnsi="Times New Roman" w:eastAsia="宋体" w:cs="Times New Roman"/>
          <w:sz w:val="28"/>
          <w:szCs w:val="28"/>
        </w:rPr>
        <w:t>典型案例与启发</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_Toc116399587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9</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"_Toc116399588" </w:instrText>
      </w:r>
      <w:r>
        <w:fldChar w:fldCharType="separate"/>
      </w:r>
      <w:r>
        <w:rPr>
          <w:rStyle w:val="23"/>
          <w:rFonts w:ascii="Times New Roman" w:hAnsi="Times New Roman" w:eastAsia="宋体" w:cs="Times New Roman"/>
          <w:sz w:val="28"/>
          <w:szCs w:val="28"/>
        </w:rPr>
        <w:t xml:space="preserve">1.4 </w:t>
      </w:r>
      <w:r>
        <w:rPr>
          <w:rStyle w:val="23"/>
          <w:rFonts w:hint="eastAsia" w:ascii="Times New Roman" w:hAnsi="Times New Roman" w:eastAsia="宋体" w:cs="Times New Roman"/>
          <w:sz w:val="28"/>
          <w:szCs w:val="28"/>
        </w:rPr>
        <w:t>本章小结</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_Toc116399588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14</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3"/>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"_Toc116399589" </w:instrText>
      </w:r>
      <w:r>
        <w:fldChar w:fldCharType="separate"/>
      </w:r>
      <w:r>
        <w:rPr>
          <w:rStyle w:val="23"/>
          <w:rFonts w:hint="eastAsia" w:ascii="Times New Roman" w:hAnsi="Times New Roman" w:eastAsia="宋体" w:cs="Times New Roman"/>
          <w:sz w:val="28"/>
          <w:szCs w:val="28"/>
        </w:rPr>
        <w:t>第二章</w:t>
      </w:r>
      <w:r>
        <w:rPr>
          <w:rStyle w:val="23"/>
          <w:rFonts w:ascii="Times New Roman" w:hAnsi="Times New Roman" w:eastAsia="宋体" w:cs="Times New Roman"/>
          <w:sz w:val="28"/>
          <w:szCs w:val="28"/>
        </w:rPr>
        <w:t xml:space="preserve"> </w:t>
      </w:r>
      <w:r>
        <w:rPr>
          <w:rStyle w:val="23"/>
          <w:rFonts w:hint="eastAsia" w:ascii="Times New Roman" w:hAnsi="Times New Roman" w:eastAsia="宋体" w:cs="Times New Roman"/>
          <w:sz w:val="28"/>
          <w:szCs w:val="28"/>
        </w:rPr>
        <w:t>韶关绿色建筑与建材发展分析研究</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_Toc116399589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15</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"_Toc116399590" </w:instrText>
      </w:r>
      <w:r>
        <w:fldChar w:fldCharType="separate"/>
      </w:r>
      <w:r>
        <w:rPr>
          <w:rStyle w:val="23"/>
          <w:rFonts w:ascii="Times New Roman" w:hAnsi="Times New Roman" w:eastAsia="宋体" w:cs="Times New Roman"/>
          <w:sz w:val="28"/>
          <w:szCs w:val="28"/>
        </w:rPr>
        <w:t xml:space="preserve">2.1 </w:t>
      </w:r>
      <w:r>
        <w:rPr>
          <w:rStyle w:val="23"/>
          <w:rFonts w:hint="eastAsia" w:ascii="Times New Roman" w:hAnsi="Times New Roman" w:eastAsia="宋体" w:cs="Times New Roman"/>
          <w:sz w:val="28"/>
          <w:szCs w:val="28"/>
        </w:rPr>
        <w:t>韶关市总体情况介绍</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_Toc116399590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15</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"_Toc116399591" </w:instrText>
      </w:r>
      <w:r>
        <w:fldChar w:fldCharType="separate"/>
      </w:r>
      <w:r>
        <w:rPr>
          <w:rStyle w:val="23"/>
          <w:rFonts w:ascii="Times New Roman" w:hAnsi="Times New Roman" w:eastAsia="宋体" w:cs="Times New Roman"/>
          <w:sz w:val="28"/>
          <w:szCs w:val="28"/>
        </w:rPr>
        <w:t xml:space="preserve">2.2 </w:t>
      </w:r>
      <w:r>
        <w:rPr>
          <w:rStyle w:val="23"/>
          <w:rFonts w:hint="eastAsia" w:ascii="Times New Roman" w:hAnsi="Times New Roman" w:eastAsia="宋体" w:cs="Times New Roman"/>
          <w:sz w:val="28"/>
          <w:szCs w:val="28"/>
        </w:rPr>
        <w:t>韶关绿色建筑与建材发展现状</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_Toc116399591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21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"_Toc116399592" </w:instrText>
      </w:r>
      <w:r>
        <w:fldChar w:fldCharType="separate"/>
      </w:r>
      <w:r>
        <w:rPr>
          <w:rStyle w:val="23"/>
          <w:rFonts w:ascii="Times New Roman" w:hAnsi="Times New Roman" w:eastAsia="宋体" w:cs="Times New Roman"/>
          <w:sz w:val="28"/>
          <w:szCs w:val="28"/>
        </w:rPr>
        <w:t xml:space="preserve">2.3 </w:t>
      </w:r>
      <w:r>
        <w:rPr>
          <w:rStyle w:val="23"/>
          <w:rFonts w:hint="eastAsia" w:ascii="Times New Roman" w:hAnsi="Times New Roman" w:eastAsia="宋体" w:cs="Times New Roman"/>
          <w:sz w:val="28"/>
          <w:szCs w:val="28"/>
        </w:rPr>
        <w:t>存在问题</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_Toc116399592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37</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"_Toc116399593" </w:instrText>
      </w:r>
      <w:r>
        <w:fldChar w:fldCharType="separate"/>
      </w:r>
      <w:r>
        <w:rPr>
          <w:rStyle w:val="23"/>
          <w:rFonts w:ascii="Times New Roman" w:hAnsi="Times New Roman" w:eastAsia="宋体" w:cs="Times New Roman"/>
          <w:sz w:val="28"/>
          <w:szCs w:val="28"/>
        </w:rPr>
        <w:t xml:space="preserve">2.4 </w:t>
      </w:r>
      <w:r>
        <w:rPr>
          <w:rStyle w:val="23"/>
          <w:rFonts w:hint="eastAsia" w:ascii="Times New Roman" w:hAnsi="Times New Roman" w:eastAsia="宋体" w:cs="Times New Roman"/>
          <w:sz w:val="28"/>
          <w:szCs w:val="28"/>
        </w:rPr>
        <w:t>本章小结</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_Toc116399593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39</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3"/>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"_Toc116399594" </w:instrText>
      </w:r>
      <w:r>
        <w:fldChar w:fldCharType="separate"/>
      </w:r>
      <w:r>
        <w:rPr>
          <w:rStyle w:val="23"/>
          <w:rFonts w:hint="eastAsia" w:ascii="Times New Roman" w:hAnsi="Times New Roman" w:eastAsia="宋体" w:cs="Times New Roman"/>
          <w:sz w:val="28"/>
          <w:szCs w:val="28"/>
        </w:rPr>
        <w:t>第三章</w:t>
      </w:r>
      <w:r>
        <w:rPr>
          <w:rStyle w:val="23"/>
          <w:rFonts w:ascii="Times New Roman" w:hAnsi="Times New Roman" w:eastAsia="宋体" w:cs="Times New Roman"/>
          <w:sz w:val="28"/>
          <w:szCs w:val="28"/>
        </w:rPr>
        <w:t xml:space="preserve"> </w:t>
      </w:r>
      <w:r>
        <w:rPr>
          <w:rStyle w:val="23"/>
          <w:rFonts w:hint="eastAsia" w:ascii="Times New Roman" w:hAnsi="Times New Roman" w:eastAsia="宋体" w:cs="Times New Roman"/>
          <w:sz w:val="28"/>
          <w:szCs w:val="28"/>
        </w:rPr>
        <w:t>发展环境分析与体系设计</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_Toc116399594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41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"_Toc116399595" </w:instrText>
      </w:r>
      <w:r>
        <w:fldChar w:fldCharType="separate"/>
      </w:r>
      <w:r>
        <w:rPr>
          <w:rStyle w:val="23"/>
          <w:rFonts w:ascii="Times New Roman" w:hAnsi="Times New Roman" w:eastAsia="宋体" w:cs="Times New Roman"/>
          <w:sz w:val="28"/>
          <w:szCs w:val="28"/>
        </w:rPr>
        <w:t xml:space="preserve">3.1 </w:t>
      </w:r>
      <w:r>
        <w:rPr>
          <w:rStyle w:val="23"/>
          <w:rFonts w:hint="eastAsia" w:ascii="Times New Roman" w:hAnsi="Times New Roman" w:eastAsia="宋体" w:cs="Times New Roman"/>
          <w:sz w:val="28"/>
          <w:szCs w:val="28"/>
        </w:rPr>
        <w:t>韶关市绿色建材产业发展趋势与规模分析预测</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_Toc116399595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41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"_Toc116399596" </w:instrText>
      </w:r>
      <w:r>
        <w:fldChar w:fldCharType="separate"/>
      </w:r>
      <w:r>
        <w:rPr>
          <w:rStyle w:val="23"/>
          <w:rFonts w:ascii="Times New Roman" w:hAnsi="Times New Roman" w:eastAsia="宋体" w:cs="Times New Roman"/>
          <w:sz w:val="28"/>
          <w:szCs w:val="28"/>
        </w:rPr>
        <w:t xml:space="preserve">3.2 </w:t>
      </w:r>
      <w:r>
        <w:rPr>
          <w:rStyle w:val="23"/>
          <w:rFonts w:hint="eastAsia" w:ascii="Times New Roman" w:hAnsi="Times New Roman" w:eastAsia="宋体" w:cs="Times New Roman"/>
          <w:sz w:val="28"/>
          <w:szCs w:val="28"/>
        </w:rPr>
        <w:t>产品优势及交通情况分析</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_Toc116399596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48</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"_Toc116399597" </w:instrText>
      </w:r>
      <w:r>
        <w:fldChar w:fldCharType="separate"/>
      </w:r>
      <w:r>
        <w:rPr>
          <w:rStyle w:val="23"/>
          <w:rFonts w:ascii="Times New Roman" w:hAnsi="Times New Roman" w:eastAsia="宋体" w:cs="Times New Roman"/>
          <w:sz w:val="28"/>
          <w:szCs w:val="28"/>
        </w:rPr>
        <w:t xml:space="preserve">3.3 </w:t>
      </w:r>
      <w:r>
        <w:rPr>
          <w:rStyle w:val="23"/>
          <w:rFonts w:hint="eastAsia" w:ascii="Times New Roman" w:hAnsi="Times New Roman" w:eastAsia="宋体" w:cs="Times New Roman"/>
          <w:sz w:val="28"/>
          <w:szCs w:val="28"/>
        </w:rPr>
        <w:t>绿色建筑与绿色建材产业发展定位</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_Toc116399597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60</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"_Toc116399598" </w:instrText>
      </w:r>
      <w:r>
        <w:fldChar w:fldCharType="separate"/>
      </w:r>
      <w:r>
        <w:rPr>
          <w:rStyle w:val="23"/>
          <w:rFonts w:ascii="Times New Roman" w:hAnsi="Times New Roman" w:eastAsia="宋体" w:cs="Times New Roman"/>
          <w:sz w:val="28"/>
          <w:szCs w:val="28"/>
        </w:rPr>
        <w:t xml:space="preserve">3.4 </w:t>
      </w:r>
      <w:r>
        <w:rPr>
          <w:rStyle w:val="23"/>
          <w:rFonts w:hint="eastAsia" w:ascii="Times New Roman" w:hAnsi="Times New Roman" w:eastAsia="宋体" w:cs="Times New Roman"/>
          <w:sz w:val="28"/>
          <w:szCs w:val="28"/>
        </w:rPr>
        <w:t>实现路径与发展模式</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_Toc116399598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61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"_Toc116399599" </w:instrText>
      </w:r>
      <w:r>
        <w:fldChar w:fldCharType="separate"/>
      </w:r>
      <w:r>
        <w:rPr>
          <w:rStyle w:val="23"/>
          <w:rFonts w:ascii="Times New Roman" w:hAnsi="Times New Roman" w:eastAsia="宋体" w:cs="Times New Roman"/>
          <w:sz w:val="28"/>
          <w:szCs w:val="28"/>
        </w:rPr>
        <w:t xml:space="preserve">3.5 </w:t>
      </w:r>
      <w:r>
        <w:rPr>
          <w:rStyle w:val="23"/>
          <w:rFonts w:hint="eastAsia" w:ascii="Times New Roman" w:hAnsi="Times New Roman" w:eastAsia="宋体" w:cs="Times New Roman"/>
          <w:sz w:val="28"/>
          <w:szCs w:val="28"/>
        </w:rPr>
        <w:t>本章小结</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_Toc116399599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62</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3"/>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"_Toc116399600" </w:instrText>
      </w:r>
      <w:r>
        <w:fldChar w:fldCharType="separate"/>
      </w:r>
      <w:r>
        <w:rPr>
          <w:rStyle w:val="23"/>
          <w:rFonts w:hint="eastAsia" w:ascii="Times New Roman" w:hAnsi="Times New Roman" w:eastAsia="宋体" w:cs="Times New Roman"/>
          <w:sz w:val="28"/>
          <w:szCs w:val="28"/>
        </w:rPr>
        <w:t>第四章</w:t>
      </w:r>
      <w:r>
        <w:rPr>
          <w:rStyle w:val="23"/>
          <w:rFonts w:ascii="Times New Roman" w:hAnsi="Times New Roman" w:eastAsia="宋体" w:cs="Times New Roman"/>
          <w:sz w:val="28"/>
          <w:szCs w:val="28"/>
        </w:rPr>
        <w:t xml:space="preserve"> </w:t>
      </w:r>
      <w:r>
        <w:rPr>
          <w:rStyle w:val="23"/>
          <w:rFonts w:hint="eastAsia" w:ascii="Times New Roman" w:hAnsi="Times New Roman" w:eastAsia="宋体" w:cs="Times New Roman"/>
          <w:sz w:val="28"/>
          <w:szCs w:val="28"/>
        </w:rPr>
        <w:t>绿色建材产业发展规划</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_Toc116399600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63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"_Toc116399601" </w:instrText>
      </w:r>
      <w:r>
        <w:fldChar w:fldCharType="separate"/>
      </w:r>
      <w:r>
        <w:rPr>
          <w:rStyle w:val="23"/>
          <w:rFonts w:ascii="Times New Roman" w:hAnsi="Times New Roman" w:eastAsia="宋体" w:cs="Times New Roman"/>
          <w:sz w:val="28"/>
          <w:szCs w:val="28"/>
        </w:rPr>
        <w:t xml:space="preserve">4.1 </w:t>
      </w:r>
      <w:r>
        <w:rPr>
          <w:rStyle w:val="23"/>
          <w:rFonts w:hint="eastAsia" w:ascii="Times New Roman" w:hAnsi="Times New Roman" w:eastAsia="宋体" w:cs="Times New Roman"/>
          <w:sz w:val="28"/>
          <w:szCs w:val="28"/>
        </w:rPr>
        <w:t>市场和产业链分析</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_Toc116399601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63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"_Toc116399602" </w:instrText>
      </w:r>
      <w:r>
        <w:fldChar w:fldCharType="separate"/>
      </w:r>
      <w:r>
        <w:rPr>
          <w:rStyle w:val="23"/>
          <w:rFonts w:ascii="Times New Roman" w:hAnsi="Times New Roman" w:eastAsia="宋体" w:cs="Times New Roman"/>
          <w:sz w:val="28"/>
          <w:szCs w:val="28"/>
        </w:rPr>
        <w:t xml:space="preserve">4.2 </w:t>
      </w:r>
      <w:r>
        <w:rPr>
          <w:rStyle w:val="23"/>
          <w:rFonts w:hint="eastAsia" w:ascii="Times New Roman" w:hAnsi="Times New Roman" w:eastAsia="宋体" w:cs="Times New Roman"/>
          <w:sz w:val="28"/>
          <w:szCs w:val="28"/>
        </w:rPr>
        <w:t>绿色建材发展目标</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_Toc116399602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86</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"_Toc116399603" </w:instrText>
      </w:r>
      <w:r>
        <w:fldChar w:fldCharType="separate"/>
      </w:r>
      <w:r>
        <w:rPr>
          <w:rStyle w:val="23"/>
          <w:rFonts w:ascii="Times New Roman" w:hAnsi="Times New Roman" w:eastAsia="宋体" w:cs="Times New Roman"/>
          <w:sz w:val="28"/>
          <w:szCs w:val="28"/>
        </w:rPr>
        <w:t xml:space="preserve">4.3 </w:t>
      </w:r>
      <w:r>
        <w:rPr>
          <w:rStyle w:val="23"/>
          <w:rFonts w:hint="eastAsia" w:ascii="Times New Roman" w:hAnsi="Times New Roman" w:eastAsia="宋体" w:cs="Times New Roman"/>
          <w:sz w:val="28"/>
          <w:szCs w:val="28"/>
        </w:rPr>
        <w:t>各县（市、区）产业发展布局</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_Toc116399603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88</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"_Toc116399604" </w:instrText>
      </w:r>
      <w:r>
        <w:fldChar w:fldCharType="separate"/>
      </w:r>
      <w:r>
        <w:rPr>
          <w:rStyle w:val="23"/>
          <w:rFonts w:ascii="Times New Roman" w:hAnsi="Times New Roman" w:eastAsia="宋体" w:cs="Times New Roman"/>
          <w:sz w:val="28"/>
          <w:szCs w:val="28"/>
        </w:rPr>
        <w:t xml:space="preserve">4.4 </w:t>
      </w:r>
      <w:r>
        <w:rPr>
          <w:rStyle w:val="23"/>
          <w:rFonts w:hint="eastAsia" w:ascii="Times New Roman" w:hAnsi="Times New Roman" w:eastAsia="宋体" w:cs="Times New Roman"/>
          <w:sz w:val="28"/>
          <w:szCs w:val="28"/>
        </w:rPr>
        <w:t>绿色建材产业发展重点任务</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_Toc116399604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113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"_Toc116399605" </w:instrText>
      </w:r>
      <w:r>
        <w:fldChar w:fldCharType="separate"/>
      </w:r>
      <w:r>
        <w:rPr>
          <w:rStyle w:val="23"/>
          <w:rFonts w:ascii="Times New Roman" w:hAnsi="Times New Roman" w:eastAsia="宋体" w:cs="Times New Roman"/>
          <w:sz w:val="28"/>
          <w:szCs w:val="28"/>
        </w:rPr>
        <w:t xml:space="preserve">4.5 </w:t>
      </w:r>
      <w:r>
        <w:rPr>
          <w:rStyle w:val="23"/>
          <w:rFonts w:hint="eastAsia" w:ascii="Times New Roman" w:hAnsi="Times New Roman" w:eastAsia="宋体" w:cs="Times New Roman"/>
          <w:sz w:val="28"/>
          <w:szCs w:val="28"/>
        </w:rPr>
        <w:t>本章小结</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_Toc116399605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129</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3"/>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"_Toc116399606" </w:instrText>
      </w:r>
      <w:r>
        <w:fldChar w:fldCharType="separate"/>
      </w:r>
      <w:r>
        <w:rPr>
          <w:rStyle w:val="23"/>
          <w:rFonts w:hint="eastAsia" w:ascii="Times New Roman" w:hAnsi="Times New Roman" w:eastAsia="宋体" w:cs="Times New Roman"/>
          <w:sz w:val="28"/>
          <w:szCs w:val="28"/>
        </w:rPr>
        <w:t>第五章</w:t>
      </w:r>
      <w:r>
        <w:rPr>
          <w:rStyle w:val="23"/>
          <w:rFonts w:ascii="Times New Roman" w:hAnsi="Times New Roman" w:eastAsia="宋体" w:cs="Times New Roman"/>
          <w:sz w:val="28"/>
          <w:szCs w:val="28"/>
        </w:rPr>
        <w:t xml:space="preserve"> </w:t>
      </w:r>
      <w:r>
        <w:rPr>
          <w:rStyle w:val="23"/>
          <w:rFonts w:hint="eastAsia" w:ascii="Times New Roman" w:hAnsi="Times New Roman" w:eastAsia="宋体" w:cs="Times New Roman"/>
          <w:sz w:val="28"/>
          <w:szCs w:val="28"/>
        </w:rPr>
        <w:t>保障措施</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_Toc116399606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133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"_Toc116399607" </w:instrText>
      </w:r>
      <w:r>
        <w:fldChar w:fldCharType="separate"/>
      </w:r>
      <w:r>
        <w:rPr>
          <w:rStyle w:val="23"/>
          <w:rFonts w:ascii="Times New Roman" w:hAnsi="Times New Roman" w:eastAsia="宋体" w:cs="Times New Roman"/>
          <w:sz w:val="28"/>
          <w:szCs w:val="28"/>
        </w:rPr>
        <w:t xml:space="preserve">5.1 </w:t>
      </w:r>
      <w:r>
        <w:rPr>
          <w:rStyle w:val="23"/>
          <w:rFonts w:hint="eastAsia" w:ascii="Times New Roman" w:hAnsi="Times New Roman" w:eastAsia="宋体" w:cs="Times New Roman"/>
          <w:sz w:val="28"/>
          <w:szCs w:val="28"/>
        </w:rPr>
        <w:t>产业扶持政策建设</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_Toc116399607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133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"_Toc116399608" </w:instrText>
      </w:r>
      <w:r>
        <w:fldChar w:fldCharType="separate"/>
      </w:r>
      <w:r>
        <w:rPr>
          <w:rStyle w:val="23"/>
          <w:rFonts w:ascii="Times New Roman" w:hAnsi="Times New Roman" w:eastAsia="宋体" w:cs="Times New Roman"/>
          <w:sz w:val="28"/>
          <w:szCs w:val="28"/>
        </w:rPr>
        <w:t xml:space="preserve">5.2 </w:t>
      </w:r>
      <w:r>
        <w:rPr>
          <w:rStyle w:val="23"/>
          <w:rFonts w:hint="eastAsia" w:ascii="Times New Roman" w:hAnsi="Times New Roman" w:eastAsia="宋体" w:cs="Times New Roman"/>
          <w:sz w:val="28"/>
          <w:szCs w:val="28"/>
        </w:rPr>
        <w:t>基础设施建设</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_Toc116399608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134</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"_Toc116399609" </w:instrText>
      </w:r>
      <w:r>
        <w:fldChar w:fldCharType="separate"/>
      </w:r>
      <w:r>
        <w:rPr>
          <w:rStyle w:val="23"/>
          <w:rFonts w:ascii="Times New Roman" w:hAnsi="Times New Roman" w:eastAsia="宋体" w:cs="Times New Roman"/>
          <w:sz w:val="28"/>
          <w:szCs w:val="28"/>
        </w:rPr>
        <w:t xml:space="preserve">5.3 </w:t>
      </w:r>
      <w:r>
        <w:rPr>
          <w:rStyle w:val="23"/>
          <w:rFonts w:hint="eastAsia" w:ascii="Times New Roman" w:hAnsi="Times New Roman" w:eastAsia="宋体" w:cs="Times New Roman"/>
          <w:sz w:val="28"/>
          <w:szCs w:val="28"/>
        </w:rPr>
        <w:t>生态环境协同发展</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_Toc116399609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135</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"_Toc116399610" </w:instrText>
      </w:r>
      <w:r>
        <w:fldChar w:fldCharType="separate"/>
      </w:r>
      <w:r>
        <w:rPr>
          <w:rStyle w:val="23"/>
          <w:rFonts w:ascii="Times New Roman" w:hAnsi="Times New Roman" w:eastAsia="宋体" w:cs="Times New Roman"/>
          <w:sz w:val="28"/>
          <w:szCs w:val="28"/>
        </w:rPr>
        <w:t xml:space="preserve">5.4 </w:t>
      </w:r>
      <w:r>
        <w:rPr>
          <w:rStyle w:val="23"/>
          <w:rFonts w:hint="eastAsia" w:ascii="Times New Roman" w:hAnsi="Times New Roman" w:eastAsia="宋体" w:cs="Times New Roman"/>
          <w:sz w:val="28"/>
          <w:szCs w:val="28"/>
        </w:rPr>
        <w:t>供给资源要素建设</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_Toc116399610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139</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"_Toc116399611" </w:instrText>
      </w:r>
      <w:r>
        <w:fldChar w:fldCharType="separate"/>
      </w:r>
      <w:r>
        <w:rPr>
          <w:rStyle w:val="23"/>
          <w:rFonts w:ascii="Times New Roman" w:hAnsi="Times New Roman" w:eastAsia="宋体" w:cs="Times New Roman"/>
          <w:sz w:val="28"/>
          <w:szCs w:val="28"/>
        </w:rPr>
        <w:t xml:space="preserve">5.5 </w:t>
      </w:r>
      <w:r>
        <w:rPr>
          <w:rStyle w:val="23"/>
          <w:rFonts w:hint="eastAsia" w:ascii="Times New Roman" w:hAnsi="Times New Roman" w:eastAsia="宋体" w:cs="Times New Roman"/>
          <w:sz w:val="28"/>
          <w:szCs w:val="28"/>
        </w:rPr>
        <w:t>政府公共服务能力建设</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_Toc116399611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141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3"/>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"_Toc116399612" </w:instrText>
      </w:r>
      <w:r>
        <w:fldChar w:fldCharType="separate"/>
      </w:r>
      <w:r>
        <w:rPr>
          <w:rStyle w:val="23"/>
          <w:rFonts w:hint="eastAsia" w:ascii="Times New Roman" w:hAnsi="Times New Roman" w:eastAsia="宋体" w:cs="Times New Roman"/>
          <w:sz w:val="28"/>
          <w:szCs w:val="28"/>
        </w:rPr>
        <w:t>第六章</w:t>
      </w:r>
      <w:r>
        <w:rPr>
          <w:rStyle w:val="23"/>
          <w:rFonts w:ascii="Times New Roman" w:hAnsi="Times New Roman" w:eastAsia="宋体" w:cs="Times New Roman"/>
          <w:sz w:val="28"/>
          <w:szCs w:val="28"/>
        </w:rPr>
        <w:t xml:space="preserve">  </w:t>
      </w:r>
      <w:r>
        <w:rPr>
          <w:rStyle w:val="23"/>
          <w:rFonts w:hint="eastAsia" w:ascii="Times New Roman" w:hAnsi="Times New Roman" w:eastAsia="宋体" w:cs="Times New Roman"/>
          <w:sz w:val="28"/>
          <w:szCs w:val="28"/>
        </w:rPr>
        <w:t>结论与规划建议</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_Toc116399612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143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2"/>
        <w:spacing w:line="360" w:lineRule="auto"/>
        <w:rPr>
          <w:rFonts w:hint="default" w:ascii="Times New Roman" w:hAnsi="Times New Roman" w:cs="Times New Roman"/>
          <w:sz w:val="28"/>
          <w:szCs w:val="28"/>
        </w:rPr>
      </w:pPr>
      <w:r>
        <w:rPr>
          <w:rFonts w:hint="default" w:ascii="Times New Roman" w:hAnsi="Times New Roman" w:cs="Times New Roman"/>
          <w:sz w:val="28"/>
          <w:szCs w:val="28"/>
        </w:rPr>
        <w:fldChar w:fldCharType="end"/>
      </w:r>
    </w:p>
    <w:p>
      <w:pPr>
        <w:pStyle w:val="2"/>
        <w:rPr>
          <w:rFonts w:hint="default" w:ascii="Times New Roman" w:hAnsi="Times New Roman" w:cs="Times New Roman"/>
          <w:sz w:val="28"/>
          <w:szCs w:val="36"/>
        </w:rPr>
        <w:sectPr>
          <w:pgSz w:w="11906" w:h="16838"/>
          <w:pgMar w:top="1440" w:right="1800" w:bottom="1440" w:left="1800" w:header="851" w:footer="992" w:gutter="0"/>
          <w:cols w:space="425" w:num="1"/>
          <w:docGrid w:type="lines" w:linePitch="312" w:charSpace="0"/>
        </w:sectPr>
      </w:pPr>
    </w:p>
    <w:p>
      <w:pPr>
        <w:pStyle w:val="3"/>
        <w:jc w:val="center"/>
        <w:rPr>
          <w:rFonts w:ascii="Times New Roman" w:hAnsi="Times New Roman" w:eastAsia="黑体" w:cs="Times New Roman"/>
          <w:sz w:val="36"/>
          <w:szCs w:val="36"/>
        </w:rPr>
      </w:pPr>
      <w:bookmarkStart w:id="0" w:name="_Toc116399584"/>
      <w:bookmarkStart w:id="1" w:name="_Hlk88582109"/>
      <w:r>
        <w:rPr>
          <w:rFonts w:ascii="Times New Roman" w:hAnsi="Times New Roman" w:eastAsia="黑体" w:cs="Times New Roman"/>
          <w:sz w:val="36"/>
          <w:szCs w:val="36"/>
        </w:rPr>
        <w:t>第一章 总论</w:t>
      </w:r>
      <w:bookmarkEnd w:id="0"/>
    </w:p>
    <w:p>
      <w:pPr>
        <w:spacing w:after="156" w:afterLines="50"/>
        <w:outlineLvl w:val="1"/>
        <w:rPr>
          <w:rFonts w:ascii="Times New Roman" w:hAnsi="Times New Roman" w:eastAsia="楷体" w:cs="Times New Roman"/>
          <w:b/>
          <w:bCs/>
          <w:sz w:val="32"/>
          <w:szCs w:val="32"/>
        </w:rPr>
      </w:pPr>
      <w:bookmarkStart w:id="2" w:name="_Toc116399585"/>
      <w:r>
        <w:rPr>
          <w:rFonts w:ascii="Times New Roman" w:hAnsi="Times New Roman" w:eastAsia="楷体" w:cs="Times New Roman"/>
          <w:b/>
          <w:bCs/>
          <w:sz w:val="32"/>
          <w:szCs w:val="32"/>
        </w:rPr>
        <w:t>1.1 国内绿色建筑发展现状与趋势</w:t>
      </w:r>
      <w:bookmarkEnd w:id="2"/>
    </w:p>
    <w:p>
      <w:pPr>
        <w:pStyle w:val="5"/>
        <w:spacing w:before="0" w:after="156" w:afterLines="50" w:line="360" w:lineRule="auto"/>
        <w:rPr>
          <w:rFonts w:ascii="Times New Roman" w:hAnsi="Times New Roman" w:cs="Times New Roman"/>
          <w:b w:val="0"/>
          <w:bCs/>
          <w:sz w:val="28"/>
          <w:szCs w:val="28"/>
        </w:rPr>
      </w:pPr>
      <w:r>
        <w:rPr>
          <w:rFonts w:ascii="Times New Roman" w:hAnsi="Times New Roman" w:cs="Times New Roman"/>
          <w:bCs/>
          <w:sz w:val="28"/>
          <w:szCs w:val="28"/>
        </w:rPr>
        <w:t>1.1.1 发展现状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经过几十年的推进，我国建筑节能和绿色建筑发展取得重大进展，绿色建筑实现跨越式发展，城镇新建建筑节能标准不断提高，既有居住建筑节能改造稳步实施，公共建筑节能监管体系建设和节能改造持续推进。</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绿色建筑方面，绿色建筑发展制度体系不断完善。《绿色建筑评价标准》GB/T50378已发布三版（2006、2014、2019），构建了具有我国特色的绿色建筑评价指标体系。天津、河北、内蒙古、辽宁、江苏、浙江、广东、广西、贵州、陕西、宁夏，以及江西、山东、青海等地颁布实施绿色建筑地方性法规、政府规章，部分地方制定绿色建筑施工图审查技术要点、绿色建筑施工质量验收标准等，民用建筑执行绿色建筑标准逐步纳入工程建设质量管理程序。住建部会同国家发展改革委等6部门共同印发《绿色建筑创建行动方案》，各地进一步加大城镇新建建筑中绿色建筑标准强制执行力度，全国省会以上城市保障性住房、政府投资公益性建筑、大型公共建筑全面执行绿色建筑标准，北京、天津、河北、辽宁、上海、江苏、浙江、安徽、福建、江西、山东、湖北、广西、重庆、云南、青海、宁夏、新疆等地开始在城镇新建建筑中全面执行绿色建筑标准。截至2019年底，当年全国城镇新建绿色建筑占新建建筑比例达到65%，累计建成绿色建筑面积超过50亿平方米，累计有19800个项目获得绿色建筑评价标识，建筑面积超过21亿平方米。绿色建筑增量投资累计超过2600亿元，带动投资3640亿元，创造就业岗位超过1000万个。</w:t>
      </w:r>
    </w:p>
    <w:p>
      <w:pPr>
        <w:adjustRightInd w:val="0"/>
        <w:snapToGrid w:val="0"/>
        <w:spacing w:line="336" w:lineRule="auto"/>
        <w:rPr>
          <w:rFonts w:ascii="Times New Roman" w:hAnsi="Times New Roman" w:cs="Times New Roman"/>
        </w:rPr>
      </w:pPr>
      <w:r>
        <w:rPr>
          <w:rFonts w:ascii="Times New Roman" w:hAnsi="Times New Roman" w:cs="Times New Roman"/>
        </w:rPr>
        <w:drawing>
          <wp:inline distT="0" distB="0" distL="114300" distR="114300">
            <wp:extent cx="5274310" cy="2792730"/>
            <wp:effectExtent l="0" t="0" r="2540" b="762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8"/>
                    <a:stretch>
                      <a:fillRect/>
                    </a:stretch>
                  </pic:blipFill>
                  <pic:spPr>
                    <a:xfrm>
                      <a:off x="0" y="0"/>
                      <a:ext cx="5274310" cy="2792730"/>
                    </a:xfrm>
                    <a:prstGeom prst="rect">
                      <a:avLst/>
                    </a:prstGeom>
                    <a:noFill/>
                    <a:ln>
                      <a:noFill/>
                    </a:ln>
                  </pic:spPr>
                </pic:pic>
              </a:graphicData>
            </a:graphic>
          </wp:inline>
        </w:drawing>
      </w:r>
    </w:p>
    <w:p>
      <w:pPr>
        <w:adjustRightInd w:val="0"/>
        <w:snapToGrid w:val="0"/>
        <w:spacing w:before="156" w:beforeLines="50" w:after="156" w:afterLines="50"/>
        <w:jc w:val="center"/>
        <w:rPr>
          <w:rFonts w:ascii="Times New Roman" w:hAnsi="Times New Roman" w:cs="Times New Roman"/>
          <w:szCs w:val="21"/>
        </w:rPr>
      </w:pPr>
      <w:r>
        <w:rPr>
          <w:rFonts w:ascii="Times New Roman" w:hAnsi="Times New Roman" w:cs="Times New Roman"/>
          <w:szCs w:val="21"/>
        </w:rPr>
        <w:t>图1.1-1 我国绿色建筑发展关键节点</w:t>
      </w:r>
    </w:p>
    <w:p>
      <w:pPr>
        <w:pStyle w:val="5"/>
        <w:spacing w:before="0" w:after="156" w:afterLines="50" w:line="360" w:lineRule="auto"/>
        <w:rPr>
          <w:rFonts w:ascii="Times New Roman" w:hAnsi="Times New Roman" w:cs="Times New Roman"/>
          <w:b w:val="0"/>
          <w:bCs/>
          <w:sz w:val="28"/>
          <w:szCs w:val="28"/>
        </w:rPr>
      </w:pPr>
      <w:r>
        <w:rPr>
          <w:rFonts w:ascii="Times New Roman" w:hAnsi="Times New Roman" w:cs="Times New Roman"/>
          <w:bCs/>
          <w:sz w:val="28"/>
          <w:szCs w:val="28"/>
        </w:rPr>
        <w:t>1.1.2 问题与趋势</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政策及产业支撑不足。绿色建筑相关工作考核机制需进一步完善，法律法规和政策标准有待完善。绿色低碳要求下的建筑成本上升，财政支持政策缺失，既有建筑节能改造工作难以推动，绿色金融支持方式仍在探索。部分城市装配式建筑发展配套政策和工作机制不完善，支撑绿色低碳发展的产业链仍未健全，建筑工业化发展的高素质产业工人紧缺，难以满足建筑快速发展需要。绿色建材的推广应用需要转型发展，混凝土搅拌站建设规划无法适应发展需要，绿色生产管理水平有待全面提高，绿色建材推广应用机制尚未建立。</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技术标准体系仍不完善。城乡建设领域绿色低碳发展政策体系和体制机制尚待建立。适应亚热带气候、资源条件的技术标准体系有待健全；绿色建筑运营、改造、可再生能源应用技术标准需进一步完善，以建筑能耗总量控制为目标的标准体系尚未建立。装配式混凝土建筑竖向构件节点连接等关键工序的质量管控还不到位，存在安全风险。钢结构住宅推广存在防腐蚀、防渗漏、防火以及居住体验差等技术问题。</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人民群众获得感不强。绿色建筑的政策标准执行度有待提高，部分项目“重设计、轻运行”，实际运行效果差强人意。建筑管理者和使用者普遍对绿色建筑的了解认识不够，对绿色设施设备的使用维护的引导和培训不到位，绿色建筑的优势未能很好发挥。市场主体作用发挥不明显，市场机制有待培育。</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绿色建筑发展方面，未来发展重点是践行绿色发展思路，全面提升绿色建筑发展质量，包括加强绿色建筑标准体系建设、完善星级绿色建筑标识制度、加强高品质绿色建筑建设、开展绿色城市建设试点，推广绿色住宅使用者监督机制，完善绿色建筑运行管理制度，倡导绿色低碳生活方式。</w:t>
      </w:r>
    </w:p>
    <w:bookmarkEnd w:id="1"/>
    <w:p>
      <w:pPr>
        <w:spacing w:after="156" w:afterLines="50"/>
        <w:outlineLvl w:val="1"/>
        <w:rPr>
          <w:rFonts w:ascii="Times New Roman" w:hAnsi="Times New Roman" w:eastAsia="楷体" w:cs="Times New Roman"/>
          <w:b/>
          <w:bCs/>
          <w:sz w:val="30"/>
          <w:szCs w:val="30"/>
        </w:rPr>
      </w:pPr>
      <w:bookmarkStart w:id="3" w:name="_Toc530058855"/>
      <w:bookmarkStart w:id="4" w:name="_Toc116399586"/>
      <w:r>
        <w:rPr>
          <w:rFonts w:ascii="Times New Roman" w:hAnsi="Times New Roman" w:eastAsia="楷体" w:cs="Times New Roman"/>
          <w:b/>
          <w:bCs/>
          <w:sz w:val="30"/>
          <w:szCs w:val="30"/>
        </w:rPr>
        <w:t>1.2 国内绿色建材发展现状</w:t>
      </w:r>
      <w:bookmarkEnd w:id="3"/>
      <w:r>
        <w:rPr>
          <w:rFonts w:ascii="Times New Roman" w:hAnsi="Times New Roman" w:eastAsia="楷体" w:cs="Times New Roman"/>
          <w:b/>
          <w:bCs/>
          <w:sz w:val="30"/>
          <w:szCs w:val="30"/>
        </w:rPr>
        <w:t>和趋势</w:t>
      </w:r>
      <w:bookmarkEnd w:id="4"/>
    </w:p>
    <w:p>
      <w:pPr>
        <w:pStyle w:val="5"/>
        <w:spacing w:before="0" w:after="156" w:afterLines="50" w:line="360" w:lineRule="auto"/>
        <w:rPr>
          <w:rFonts w:ascii="Times New Roman" w:hAnsi="Times New Roman" w:cs="Times New Roman"/>
          <w:b w:val="0"/>
          <w:bCs/>
          <w:sz w:val="28"/>
          <w:szCs w:val="28"/>
        </w:rPr>
      </w:pPr>
      <w:r>
        <w:rPr>
          <w:rFonts w:ascii="Times New Roman" w:hAnsi="Times New Roman" w:cs="Times New Roman"/>
          <w:bCs/>
          <w:sz w:val="28"/>
          <w:szCs w:val="28"/>
        </w:rPr>
        <w:t>1.2.1 发展现状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根据《绿色建材评价标准》的定义：绿色建材是指在全生命周期内可减少对天然资源消耗和减轻对生态环境影响，具有“节能、减排、安全、便利和可循环”特征的建材产品。</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根据住建部等三部门联合印发的《绿色建材产品认证实施方案》规定，目前国家认可的绿色建材，包括“绿色产品”和“绿色建材产品”两大类，分别按照《绿色产品标识使用管理办法》《绿色建材评价标识管理办法》进行认证。</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“绿色产品”（认证一）包括人造板和木质地板、涂料、卫生陶瓷、建筑玻璃、太阳能热水系统、家具、绝热材料、防水与密封材料、陶瓷砖（板）、木塑制品、塑料制品等12大类。</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“绿色建材产品”（认证二）包括围护结构及混凝土、门窗幕墙及装饰装修材料、防水密封及建筑涂料、给排水及水处理设备、暖通空调及太阳能利用与照明、其他设备6大类，51小类。</w:t>
      </w:r>
    </w:p>
    <w:p>
      <w:pPr>
        <w:adjustRightInd w:val="0"/>
        <w:snapToGrid w:val="0"/>
        <w:spacing w:before="156" w:beforeLines="50" w:after="156" w:afterLines="50"/>
        <w:jc w:val="center"/>
        <w:rPr>
          <w:rFonts w:ascii="Times New Roman" w:hAnsi="Times New Roman" w:cs="Times New Roman"/>
          <w:szCs w:val="21"/>
        </w:rPr>
      </w:pPr>
      <w:r>
        <w:rPr>
          <w:rFonts w:hint="eastAsia" w:ascii="Times New Roman" w:hAnsi="Times New Roman" w:cs="Times New Roman"/>
          <w:szCs w:val="21"/>
        </w:rPr>
        <w:t>表</w:t>
      </w:r>
      <w:r>
        <w:rPr>
          <w:rFonts w:ascii="Times New Roman" w:hAnsi="Times New Roman" w:cs="Times New Roman"/>
          <w:szCs w:val="21"/>
        </w:rPr>
        <w:t xml:space="preserve">1.2-1 </w:t>
      </w:r>
      <w:r>
        <w:rPr>
          <w:rFonts w:hint="eastAsia" w:ascii="Times New Roman" w:hAnsi="Times New Roman" w:cs="Times New Roman"/>
          <w:szCs w:val="21"/>
        </w:rPr>
        <w:t>绿色建材产品分级认证目录及绿色产品认证目录</w:t>
      </w:r>
    </w:p>
    <w:tbl>
      <w:tblPr>
        <w:tblStyle w:val="18"/>
        <w:tblW w:w="5000" w:type="pct"/>
        <w:tblInd w:w="0" w:type="dxa"/>
        <w:tblLayout w:type="autofit"/>
        <w:tblCellMar>
          <w:top w:w="0" w:type="dxa"/>
          <w:left w:w="108" w:type="dxa"/>
          <w:bottom w:w="0" w:type="dxa"/>
          <w:right w:w="108" w:type="dxa"/>
        </w:tblCellMar>
      </w:tblPr>
      <w:tblGrid>
        <w:gridCol w:w="1086"/>
        <w:gridCol w:w="2938"/>
        <w:gridCol w:w="4498"/>
      </w:tblGrid>
      <w:tr>
        <w:tblPrEx>
          <w:tblCellMar>
            <w:top w:w="0" w:type="dxa"/>
            <w:left w:w="108" w:type="dxa"/>
            <w:bottom w:w="0" w:type="dxa"/>
            <w:right w:w="108" w:type="dxa"/>
          </w:tblCellMar>
        </w:tblPrEx>
        <w:trPr>
          <w:trHeight w:val="659" w:hRule="atLeast"/>
          <w:tblHeader/>
        </w:trPr>
        <w:tc>
          <w:tcPr>
            <w:tcW w:w="63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b/>
                <w:bCs/>
                <w:color w:val="000000"/>
                <w:kern w:val="0"/>
                <w:szCs w:val="21"/>
              </w:rPr>
            </w:pPr>
            <w:r>
              <w:rPr>
                <w:rFonts w:hint="eastAsia" w:ascii="Times New Roman" w:hAnsi="Times New Roman" w:eastAsia="宋体" w:cs="Times New Roman"/>
                <w:b/>
                <w:bCs/>
                <w:color w:val="000000"/>
                <w:kern w:val="0"/>
                <w:szCs w:val="21"/>
              </w:rPr>
              <w:t>序号</w:t>
            </w:r>
          </w:p>
        </w:tc>
        <w:tc>
          <w:tcPr>
            <w:tcW w:w="1724"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b/>
                <w:bCs/>
                <w:color w:val="000000"/>
                <w:kern w:val="0"/>
                <w:szCs w:val="21"/>
              </w:rPr>
            </w:pPr>
            <w:r>
              <w:rPr>
                <w:rFonts w:hint="eastAsia" w:ascii="Times New Roman" w:hAnsi="Times New Roman" w:eastAsia="宋体" w:cs="Times New Roman"/>
                <w:b/>
                <w:bCs/>
                <w:color w:val="000000"/>
                <w:kern w:val="0"/>
                <w:szCs w:val="21"/>
              </w:rPr>
              <w:t>产品大类</w:t>
            </w:r>
          </w:p>
        </w:tc>
        <w:tc>
          <w:tcPr>
            <w:tcW w:w="2639"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b/>
                <w:bCs/>
                <w:color w:val="000000"/>
                <w:kern w:val="0"/>
                <w:szCs w:val="21"/>
              </w:rPr>
            </w:pPr>
            <w:r>
              <w:rPr>
                <w:rFonts w:hint="eastAsia" w:ascii="Times New Roman" w:hAnsi="Times New Roman" w:eastAsia="宋体" w:cs="Times New Roman"/>
                <w:b/>
                <w:bCs/>
                <w:color w:val="000000"/>
                <w:kern w:val="0"/>
                <w:szCs w:val="21"/>
              </w:rPr>
              <w:t>产品种类</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w:t>
            </w:r>
          </w:p>
        </w:tc>
        <w:tc>
          <w:tcPr>
            <w:tcW w:w="1724"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围护结构和混凝土类</w:t>
            </w: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预制构件</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钢结构房屋用钢构件</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现代木结构用材</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砌体材料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5</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保温系统材料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6</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预拌混凝土</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7</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预拌砂浆</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8</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混凝土外加剂</w:t>
            </w:r>
            <w:r>
              <w:rPr>
                <w:rFonts w:ascii="Times New Roman" w:hAnsi="Times New Roman" w:eastAsia="宋体" w:cs="Times New Roman"/>
                <w:color w:val="000000"/>
                <w:kern w:val="0"/>
                <w:szCs w:val="21"/>
              </w:rPr>
              <w:t xml:space="preserve"> </w:t>
            </w:r>
            <w:r>
              <w:rPr>
                <w:rFonts w:hint="eastAsia" w:ascii="Times New Roman" w:hAnsi="Times New Roman" w:eastAsia="宋体" w:cs="Times New Roman"/>
                <w:color w:val="000000"/>
                <w:kern w:val="0"/>
                <w:szCs w:val="21"/>
              </w:rPr>
              <w:t>减水剂</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9</w:t>
            </w:r>
          </w:p>
        </w:tc>
        <w:tc>
          <w:tcPr>
            <w:tcW w:w="1724"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门窗幕墙及装饰装修类</w:t>
            </w: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建筑门窗及配件</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10</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建筑幕墙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11</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建筑节能玻璃</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12</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建筑遮阳产品</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13</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门窗幕墙用型材</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14</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钢质户门</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15</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金属复合装饰材料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16</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建筑陶瓷</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17</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卫生洁具</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18</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无机装饰板材</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19</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石膏装饰材料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20</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石材</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21</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镁质装饰材料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22</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吊顶系统</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23</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集成墙面</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24</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纸面石膏板</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25</w:t>
            </w:r>
          </w:p>
        </w:tc>
        <w:tc>
          <w:tcPr>
            <w:tcW w:w="1724"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防水密封及建筑涂料类</w:t>
            </w: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建筑密封胶</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26</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防水卷材</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27</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防水涂料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28</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墙面涂料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29</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反射隔热涂料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30</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空气净化材料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31</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树脂地坪材料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32</w:t>
            </w:r>
          </w:p>
        </w:tc>
        <w:tc>
          <w:tcPr>
            <w:tcW w:w="1724"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给排水及水处理设备类</w:t>
            </w: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水嘴</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33</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建筑用阀门</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34</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塑料管材管件</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35</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游泳池循环水处理设备</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36</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净水设备</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37</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软化设备</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38</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油脂分离器</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39</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中水处理设备</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40</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雨水处理设备</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41</w:t>
            </w:r>
          </w:p>
        </w:tc>
        <w:tc>
          <w:tcPr>
            <w:tcW w:w="1724"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暖通空调及太阳能理由与照明类</w:t>
            </w: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空气源热泵</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42</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地源热泵系统</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43</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新风净化系统</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44</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建筑用蓄能装置</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45</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光伏组件</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46</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LED</w:t>
            </w:r>
            <w:r>
              <w:rPr>
                <w:rFonts w:hint="eastAsia" w:ascii="Times New Roman" w:hAnsi="Times New Roman" w:eastAsia="宋体" w:cs="Times New Roman"/>
                <w:color w:val="000000"/>
                <w:kern w:val="0"/>
                <w:szCs w:val="21"/>
              </w:rPr>
              <w:t>照明产品</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47</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采光系统</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48</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太阳能光伏发电系统</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49</w:t>
            </w:r>
          </w:p>
        </w:tc>
        <w:tc>
          <w:tcPr>
            <w:tcW w:w="1724"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其他设备类</w:t>
            </w: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设备隔振降噪装置</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50</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控制与计量设备</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51</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机械式停车设备</w:t>
            </w:r>
          </w:p>
        </w:tc>
      </w:tr>
    </w:tbl>
    <w:p>
      <w:pPr>
        <w:adjustRightInd w:val="0"/>
        <w:snapToGrid w:val="0"/>
        <w:spacing w:before="156" w:beforeLines="50" w:after="156" w:afterLines="50"/>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3785235" cy="4941570"/>
            <wp:effectExtent l="0" t="0" r="5715" b="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9"/>
                    <a:stretch>
                      <a:fillRect/>
                    </a:stretch>
                  </pic:blipFill>
                  <pic:spPr>
                    <a:xfrm>
                      <a:off x="0" y="0"/>
                      <a:ext cx="3785644" cy="4941617"/>
                    </a:xfrm>
                    <a:prstGeom prst="rect">
                      <a:avLst/>
                    </a:prstGeom>
                  </pic:spPr>
                </pic:pic>
              </a:graphicData>
            </a:graphic>
          </wp:inline>
        </w:drawing>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我国绿色建材产业起步较慢，相关法律法规、标准、认证等仍在不断完善之中。近年来，我国绿色建材研发工作不断深入，品种日益丰富，应用领域不断深化，推广使用比率逐年上升。随着我国新型城镇化的稳步推进和住房需求的升级，具备资源节约、环境友好与功能多样化等诸多优点于一身的绿色建材逐渐成为现代建筑业的首选材料。</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水泥行业。水泥工业作为利用粉煤灰、煤矸石、副产石膏、矿渣、电石渣等大宗工业固废的主要行业，积极推进清洁绿色生产，通过推广节能粉磨、变频调速、资源综合利用、水泥窑协同处置污泥和城市垃圾、余热发电、散装水泥等技术和服务，逐步提高绿色化水平。高性能混凝土、高贝利特水泥、低碳水泥、装配式复合墙体材料等绿色产品开发进展较快。</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玻璃深加工。“十三五”以来，玻璃行业相关标准逐渐完善，窑炉保温、余热发电技术得到普及，天然气、光伏发电等清洁能源利用迅速开展，碎玻璃添加率进一步提高。在新技术的带动下，产品种类不断丰富，应用水平不断提高。Low-E玻璃、真空玻璃、高硼硅玻璃、高铝玻璃、超薄玻璃、超白玻璃及石英玻璃等制品推广普及较快，在线镀膜浮法玻璃、光伏用超白玻璃、交通工具用玻璃原片、超薄电子玻璃、高铝盖板玻璃等高水平的生产线增长迅速。</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陶瓷行业。陶瓷行业通过推进清洁生产，推行减量化生产和节能改造等措施，推动行业向绿色低碳等方向发展。薄型化、功能化的陶瓷砖，节水、轻量的座便器（小便器）得到推广使用。节能窑炉、窑炉余热利用、低温烧成、釉面砖一次烧成技术得到推广。</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4、装配式建筑部品。混凝土预制构配件的通用体系不断完善，关于混凝土预制构件的质量、产品、管理、装配式混凝土构件设计、施工等各方面的标准、规范相继颁布实施。全国各地建设了多个制造推进叠合楼板、内外墙板、楼梯阳台、厨卫装饰的工厂化生产项目。</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5、先进无机非金属材料。先进无机非金属材料产业发展迅速，在工业强基等重点工作的引领下，一批关键基础材料在产业化、规模化取得实质进展，关键基础材料供给保障能力进一步加强。显示器玻璃基板、触摸屏盖板玻璃等所用玻璃基材料，工业陶瓷用氮化硅、碳化硅、氧化锆陶瓷粉体，高性能纤维及复合材料，石墨烯及其改性材料等一批先进无机非金属材料逐步实现产业化、规模化。</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6、生产性服务业。“十三五”以来，建材服务业出现了加速发展态势，以提供建材制造业建设所需的设计、装备、工程等全系统的全程服务，提供建材产品交易、贸易、流通、集成、配套使用的全方位服务，提供为建材行业各领域、各产业、各企业的相关可行性研究、科技成果、标准、质量、检测、认证、评价、中介、诊断、信息、大数据等全软件系统的多功能全套服务等生产性配套服务业发展迅速。2016年和2017中国建材联合会先后印发了《加快与拓展建材服务业发展的指导意见》和《加快与推进建材服务业发展的实施意见》，为建材行业服务业发展提供了良好的建议，并在全行业形成了发展建材服务业的氛围，加快了制造业与服务业的融合步伐。住建部科技与产业化发展中心主编的100项具体绿色建材评价标准列入《中国工程建设标准化协会2017年第三批产品标准试点项目计划》，该系列标准总结了《绿色建材导则（第一版）》颁布实施以来遇到的主要问题，其中由住房和城乡建设部科技与产业化发展中心等单位编制的《绿色建材评价-预制构件》等49项协会标准，于2019年9月12批准发布，自2020年3月1日起施行。这一系列标准的颁布实施将解决目前绿色建材评价工作范围窄，部分规定内容适用性差的问题，预计将显著推动绿色建材评价工作的开展。在此基础上，住建部还将加大绿色建材在建筑工程中采信力度，制定绿色建材推广和应用管理办法，鼓励和支持绿色建材推广应用。</w:t>
      </w:r>
    </w:p>
    <w:p>
      <w:pPr>
        <w:pStyle w:val="5"/>
        <w:spacing w:before="0" w:after="156" w:afterLines="50" w:line="360" w:lineRule="auto"/>
        <w:rPr>
          <w:rFonts w:ascii="Times New Roman" w:hAnsi="Times New Roman" w:cs="Times New Roman"/>
          <w:b w:val="0"/>
          <w:bCs/>
          <w:sz w:val="28"/>
          <w:szCs w:val="28"/>
        </w:rPr>
      </w:pPr>
      <w:r>
        <w:rPr>
          <w:rFonts w:ascii="Times New Roman" w:hAnsi="Times New Roman" w:cs="Times New Roman"/>
          <w:bCs/>
          <w:sz w:val="28"/>
          <w:szCs w:val="28"/>
        </w:rPr>
        <w:t>1.2.2 发展问题分析</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总体来看，目前我国绿色建材产业近年来虽取得快速的发展，但整体产业仍处于导入期，发展相对滞后，制约发展的问题主要包括：</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（1）绿色建材的定义、标准尚不清晰，绿色建材市场鱼龙混杂，各类绿色建材的产品的区分度不高，造成消费者选择绿色建材产品的动力不足。</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从事绿色建材产品生产的企业相对较少，产业基础薄弱，加之企业技术水平有待提高，绿色产品及绿色生产的成本较高，产品缺乏市场竞争力，造成真正的绿色产品在市场中占比重很小，生产供应能力不足。</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政府推广应用力度不足，绿色建材生产和应用很大程度上体现的公益属性，未能给予相应的政策支持。绿色建材未能纳入绿色建筑、装配式建筑等新型建筑的选材依据，采信体系尚属空白，造成在新建建筑中应用比例较低的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（4）绿色供应链尚未建立，对应的法律法规不健全，对绿色供应链没有明确的规范和说明，企业没有绿色供应链的明确约束，更没有供应链体系的监管。</w:t>
      </w:r>
    </w:p>
    <w:p>
      <w:pPr>
        <w:spacing w:after="156" w:afterLines="50"/>
        <w:outlineLvl w:val="1"/>
        <w:rPr>
          <w:rFonts w:ascii="Times New Roman" w:hAnsi="Times New Roman" w:eastAsia="楷体" w:cs="Times New Roman"/>
          <w:b/>
          <w:bCs/>
          <w:sz w:val="30"/>
          <w:szCs w:val="30"/>
        </w:rPr>
      </w:pPr>
      <w:bookmarkStart w:id="5" w:name="_Toc116399587"/>
      <w:r>
        <w:rPr>
          <w:rFonts w:ascii="Times New Roman" w:hAnsi="Times New Roman" w:eastAsia="楷体" w:cs="Times New Roman"/>
          <w:b/>
          <w:bCs/>
          <w:sz w:val="30"/>
          <w:szCs w:val="30"/>
        </w:rPr>
        <w:t xml:space="preserve">1.3 </w:t>
      </w:r>
      <w:r>
        <w:rPr>
          <w:rFonts w:hint="eastAsia" w:ascii="Times New Roman" w:hAnsi="Times New Roman" w:eastAsia="楷体" w:cs="Times New Roman"/>
          <w:b/>
          <w:bCs/>
          <w:sz w:val="30"/>
          <w:szCs w:val="30"/>
        </w:rPr>
        <w:t>其他城市</w:t>
      </w:r>
      <w:r>
        <w:rPr>
          <w:rFonts w:ascii="Times New Roman" w:hAnsi="Times New Roman" w:eastAsia="楷体" w:cs="Times New Roman"/>
          <w:b/>
          <w:bCs/>
          <w:sz w:val="30"/>
          <w:szCs w:val="30"/>
        </w:rPr>
        <w:t>案例</w:t>
      </w:r>
      <w:bookmarkEnd w:id="5"/>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1、佛山市</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在2020年10月，佛山市被财政部、住房和城乡建设部列为政府采购支持绿色建材促进建筑品质提升试点城市，是全国六个试点城市之一，也是华南地区唯一一个试点城市，为此，佛山市积极探索先行经验。为加快推广绿色建材应用，推动建材行业绿色化发展，佛山市人民政府办公室印发了《佛山市推广绿色建材促进建筑品质提升试点工作实施方案》（以下简称《实施方案》），明确了基本原则、工作目标、主要任务、保障措施等</w:t>
      </w:r>
      <w:r>
        <w:rPr>
          <w:rFonts w:hint="eastAsia" w:ascii="Times New Roman" w:hAnsi="Times New Roman" w:cs="Times New Roman"/>
          <w:sz w:val="28"/>
          <w:szCs w:val="28"/>
        </w:rPr>
        <w:t>，</w:t>
      </w:r>
      <w:r>
        <w:rPr>
          <w:rFonts w:ascii="Times New Roman" w:hAnsi="Times New Roman" w:cs="Times New Roman"/>
          <w:sz w:val="28"/>
          <w:szCs w:val="28"/>
        </w:rPr>
        <w:t>从以下几方面推广绿色建材：</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完善绿色建材标准。结合佛山市具体实际，按照《佛山市绿色建材基本要求》（以下简称《基本要求》）的规定，对绿色建材标准进行细化和完善。</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健全配套政策制度。以政策引导，推动佛山市绿色建材目录产品及获认证建材产品规模化；积极引导科研院所与建材企业联动，以科技服务生产，以生产促进科技，推进绿色建材科技转化，促进建筑品质提升，助力绿色建材产业发展。</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选定试点工程项目。目前已确定在国有资金参与投资建设的医院、学校、办公楼、综合体、展览馆、会展中心、体育馆、保障性住房八大类新建工程项目（包括符合试点条件的已开工项目）范围内选定试点项目。试点时间为2年。</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开发应用信息化管理技术。探索推广绿色建材信息化管理技术，建立绿色建材采购平台，并将推广绿色建材应用信息化管理技术逐步从国有资金参与投资建设工程推广到社会投资项目中。健全资金流向管理，掌握绿色建材对建设工程造价的影响，强化采购全流程监管，通过大数据全方位了解佛山市绿色建材产业基础及发展情况。</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实施绿色建材采购。试点项目采购人需直接采购或要求承包单位使用符合规定的绿色建材产品。试点项目使用的绿色建材产品类别在佛山市绿色建材目录中有的，必须使用目录内产品。</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建立绿色建材目录。《实施方案》明确，到2021年6月底，建立《佛山市绿色建材目录》（以下简称《目录》）及相应的管理制度。其中，满足《基本要求》有关规定的产品，及获得绿色建材评价标识、认证或者环境标志产品认证的绿色建材产品，均可直接列入目录内。推动符合要求的本地建材产品进入《目录》，无论对建材企业自身的发展，还是对佛山市绿色建材的应用和建筑品质提升都起着积极作用。截止至2022年8月10号，《佛山市绿色建材目录》已发布至第二十五批。</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2、阜阳市</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阜阳市由于受到砂石、石灰石矿山资源匮乏的限制，建材工业发展的产业基础总体上较弱。近年来，随着阜阳城镇化进程的加快，建材产品需求持续增长，拉动了阜阳建材产业快速发展。截至2017年底，包括木制建材在内的全市广义建材行业实现工业总产值263.4亿元；其中水泥制造、预拌混凝土和水泥制品、砖瓦石材等三大品类传统建材产品实现工业产值121.3亿元，占建材工业总产值的46%；人造板、家具、涂料、结构性金属制品等新兴建材产业年产值也达到128.0亿元，占建材工业总产值的49%，也已经初具规模。</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根据</w:t>
      </w:r>
      <w:r>
        <w:rPr>
          <w:rFonts w:ascii="Times New Roman" w:hAnsi="Times New Roman" w:cs="Times New Roman"/>
          <w:sz w:val="28"/>
          <w:szCs w:val="28"/>
        </w:rPr>
        <w:t>《</w:t>
      </w:r>
      <w:r>
        <w:rPr>
          <w:rFonts w:hint="eastAsia" w:ascii="Times New Roman" w:hAnsi="Times New Roman" w:cs="Times New Roman"/>
          <w:sz w:val="28"/>
          <w:szCs w:val="28"/>
        </w:rPr>
        <w:t>阜阳市绿色建材产业发展规划（2019-2030年）</w:t>
      </w:r>
      <w:r>
        <w:rPr>
          <w:rFonts w:ascii="Times New Roman" w:hAnsi="Times New Roman" w:cs="Times New Roman"/>
          <w:sz w:val="28"/>
          <w:szCs w:val="28"/>
        </w:rPr>
        <w:t>》</w:t>
      </w:r>
      <w:r>
        <w:rPr>
          <w:rFonts w:hint="eastAsia" w:ascii="Times New Roman" w:hAnsi="Times New Roman" w:cs="Times New Roman"/>
          <w:sz w:val="28"/>
          <w:szCs w:val="28"/>
        </w:rPr>
        <w:t>，提出到2</w:t>
      </w:r>
      <w:r>
        <w:rPr>
          <w:rFonts w:ascii="Times New Roman" w:hAnsi="Times New Roman" w:cs="Times New Roman"/>
          <w:sz w:val="28"/>
          <w:szCs w:val="28"/>
        </w:rPr>
        <w:t>025</w:t>
      </w:r>
      <w:r>
        <w:rPr>
          <w:rFonts w:hint="eastAsia" w:ascii="Times New Roman" w:hAnsi="Times New Roman" w:cs="Times New Roman"/>
          <w:sz w:val="28"/>
          <w:szCs w:val="28"/>
        </w:rPr>
        <w:t>年实现“1</w:t>
      </w:r>
      <w:r>
        <w:rPr>
          <w:rFonts w:ascii="Times New Roman" w:hAnsi="Times New Roman" w:cs="Times New Roman"/>
          <w:sz w:val="28"/>
          <w:szCs w:val="28"/>
        </w:rPr>
        <w:t>234</w:t>
      </w:r>
      <w:r>
        <w:rPr>
          <w:rFonts w:hint="eastAsia" w:ascii="Times New Roman" w:hAnsi="Times New Roman" w:cs="Times New Roman"/>
          <w:sz w:val="28"/>
          <w:szCs w:val="28"/>
        </w:rPr>
        <w:t>”产业目标，即“培育一个新支柱产业（绿色建材产业产值1</w:t>
      </w:r>
      <w:r>
        <w:rPr>
          <w:rFonts w:ascii="Times New Roman" w:hAnsi="Times New Roman" w:cs="Times New Roman"/>
          <w:sz w:val="28"/>
          <w:szCs w:val="28"/>
        </w:rPr>
        <w:t>000</w:t>
      </w:r>
      <w:r>
        <w:rPr>
          <w:rFonts w:hint="eastAsia" w:ascii="Times New Roman" w:hAnsi="Times New Roman" w:cs="Times New Roman"/>
          <w:sz w:val="28"/>
          <w:szCs w:val="28"/>
        </w:rPr>
        <w:t>亿、增加值2</w:t>
      </w:r>
      <w:r>
        <w:rPr>
          <w:rFonts w:ascii="Times New Roman" w:hAnsi="Times New Roman" w:cs="Times New Roman"/>
          <w:sz w:val="28"/>
          <w:szCs w:val="28"/>
        </w:rPr>
        <w:t>50</w:t>
      </w:r>
      <w:r>
        <w:rPr>
          <w:rFonts w:hint="eastAsia" w:ascii="Times New Roman" w:hAnsi="Times New Roman" w:cs="Times New Roman"/>
          <w:sz w:val="28"/>
          <w:szCs w:val="28"/>
        </w:rPr>
        <w:t>亿）、取得两项重大进展（制造服务体系建设、绿色建材采信推广）、实现三个明显提升（技术创新、绿色生产、信息化水平）、四个重大突破（龙头企业、品牌建设、制造服务业、人才队伍）”。</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在发展方向方面，阜阳市提出绿色建材产业借力绿色建筑、装配式建筑、超低能耗被动房等非传统建筑发展机遇，实现由传统建材制造业向以装配式建筑部品为核心，特色精深加工、利废环保材料产业、节能机电产业等为重要发展极的“一核三极”的绿色建材产业的转型升级，特别是利用阜阳玻璃、木材、工农业固体废弃物等方面的技术、资源和市场优势，近期重点培育特色精深加工和利废环境功能建材两大产业链，形成阜阳建材的优势产业。</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3、肇庆市</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根据</w:t>
      </w:r>
      <w:r>
        <w:rPr>
          <w:rFonts w:ascii="Times New Roman" w:hAnsi="Times New Roman" w:cs="Times New Roman"/>
          <w:sz w:val="28"/>
          <w:szCs w:val="28"/>
        </w:rPr>
        <w:t>肇庆市出台</w:t>
      </w:r>
      <w:r>
        <w:rPr>
          <w:rFonts w:hint="eastAsia" w:ascii="Times New Roman" w:hAnsi="Times New Roman" w:cs="Times New Roman"/>
          <w:sz w:val="28"/>
          <w:szCs w:val="28"/>
        </w:rPr>
        <w:t>的</w:t>
      </w:r>
      <w:r>
        <w:rPr>
          <w:rFonts w:ascii="Times New Roman" w:hAnsi="Times New Roman" w:cs="Times New Roman"/>
          <w:sz w:val="28"/>
          <w:szCs w:val="28"/>
        </w:rPr>
        <w:t>《肇庆市推动建筑材料产业发展行动计划(2021-2025 年)》</w:t>
      </w:r>
      <w:r>
        <w:rPr>
          <w:rFonts w:hint="eastAsia" w:ascii="Times New Roman" w:hAnsi="Times New Roman" w:cs="Times New Roman"/>
          <w:sz w:val="28"/>
          <w:szCs w:val="28"/>
        </w:rPr>
        <w:t>提出目标</w:t>
      </w:r>
      <w:r>
        <w:rPr>
          <w:rFonts w:ascii="Times New Roman" w:hAnsi="Times New Roman" w:cs="Times New Roman"/>
          <w:sz w:val="28"/>
          <w:szCs w:val="28"/>
        </w:rPr>
        <w:t>，到2025年，肇庆市建筑材料产业总产值突破500亿元，水泥行业培育1家产值超80亿元的链主企业，肇庆市建筑材料产业亿元级企业超过20家，打造具有核心竞争力和特色优势的的建筑材料产业集群。</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作为省内建筑材料大市，肇庆具备较好资源优势，基本形成了以水泥及其制品、建筑陶瓷制品、新型建材制品等领域为特色的建筑材料产业体系。2021年1-9月，肇庆建筑材料产业规上企业193家，实现规模以上工业总产值422.9亿元，占全市规模以上工业的13.8%。其中，水泥及其制品企业88家，主要企业有肇庆市封开华润、德庆石井、四会骏马、高要金岗，另外还有四会建华、德庆盈启等水泥管桩等制品生产企业，总产值157.6亿元；建筑陶瓷制品68家，主要企业萨米特陶瓷、将军陶瓷、乐华陶瓷分布在高要区，总产值229.6亿元。</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2020年，肇庆市建筑材料产业拥有国家级检验站1家，省级工程技术研究开发中心7家，市级工程技术研究开发中心10家。2020年出台的《广东省发展先进材料战略性支柱产业集群行动计划（2021-2025年）》提出，肇庆市重点打造建材和铝合金加工材产业集群，充分利用地域原材料和建材产业集聚优势，重点发展高端建筑陶瓷、绿色水泥等建材产业。</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未来5年，肇庆建筑材料行业</w:t>
      </w:r>
      <w:r>
        <w:rPr>
          <w:rFonts w:hint="eastAsia" w:ascii="Times New Roman" w:hAnsi="Times New Roman" w:cs="Times New Roman"/>
          <w:sz w:val="28"/>
          <w:szCs w:val="28"/>
        </w:rPr>
        <w:t>目标为</w:t>
      </w:r>
      <w:r>
        <w:rPr>
          <w:rFonts w:ascii="Times New Roman" w:hAnsi="Times New Roman" w:cs="Times New Roman"/>
          <w:sz w:val="28"/>
          <w:szCs w:val="28"/>
        </w:rPr>
        <w:t>基本形成以水泥及其制品、高端建筑陶瓷制品、新型建材制品三大领域为重点，龙头带动、产业链延伸、协同创新的建筑材料产业发展体系。肇庆将实施绿色水泥产业强链、高端建筑陶瓷产业提质、新型建材产业培育三大工程，推动绿色建材产业转型升级，力争到2025年肇庆市水泥及其制品产值超150亿、高端陶瓷制品产值超250亿元、新型建材制品产值超100亿元。</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4</w:t>
      </w:r>
      <w:r>
        <w:rPr>
          <w:rFonts w:ascii="Times New Roman" w:hAnsi="Times New Roman" w:cs="Times New Roman"/>
          <w:sz w:val="28"/>
          <w:szCs w:val="28"/>
        </w:rPr>
        <w:t>、梅州市</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梅州是广东省传统水泥产地，是粤东地区重要的水泥基地。水泥工业是梅州五大支柱产业之一。全市水泥行业从业人数超过10000人。2020年，梅州市水泥工业完成工业增加值28.27亿元，占全市规上工业增加值的12.4%，实现税收收入7.2083亿元。全市现有10条新型干法水泥熟料生产线，熟料设计总产能1500万吨/年，设计水泥总产能2520万吨/年；独立水泥粉磨企业15家，水泥粉磨能力1170万吨/年。</w:t>
      </w:r>
    </w:p>
    <w:p>
      <w:pPr>
        <w:pStyle w:val="2"/>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梅州市预拌混凝土行业发展迅猛。现有预拌混凝土企业80家，年设计产能2800万m</w:t>
      </w:r>
      <w:r>
        <w:rPr>
          <w:rFonts w:hint="default" w:ascii="Times New Roman" w:hAnsi="Times New Roman" w:cs="Times New Roman" w:eastAsiaTheme="minorEastAsia"/>
          <w:sz w:val="28"/>
          <w:szCs w:val="28"/>
          <w:vertAlign w:val="superscript"/>
        </w:rPr>
        <w:t>3</w:t>
      </w:r>
      <w:r>
        <w:rPr>
          <w:rFonts w:hint="default" w:ascii="Times New Roman" w:hAnsi="Times New Roman" w:cs="Times New Roman" w:eastAsiaTheme="minorEastAsia"/>
          <w:sz w:val="28"/>
          <w:szCs w:val="28"/>
        </w:rPr>
        <w:t>。2020年全市混凝土产量689.11万m</w:t>
      </w:r>
      <w:r>
        <w:rPr>
          <w:rFonts w:hint="default" w:ascii="Times New Roman" w:hAnsi="Times New Roman" w:cs="Times New Roman" w:eastAsiaTheme="minorEastAsia"/>
          <w:sz w:val="28"/>
          <w:szCs w:val="28"/>
          <w:vertAlign w:val="superscript"/>
        </w:rPr>
        <w:t>3</w:t>
      </w:r>
      <w:r>
        <w:rPr>
          <w:rFonts w:hint="default" w:ascii="Times New Roman" w:hAnsi="Times New Roman" w:cs="Times New Roman" w:eastAsiaTheme="minorEastAsia"/>
          <w:sz w:val="28"/>
          <w:szCs w:val="28"/>
        </w:rPr>
        <w:t>，产值27.56亿元，实现税收总额11024万元。梅州现有备案砂浆企业数量28家，2020年梅州市预拌砂浆使用量80.09万吨，超额完成了《广东省散装水泥发展和应用规划(2014～2020年)》所定目标。2020年，梅州市预拌砂浆产值1.53亿元，实现税收1989万元。</w:t>
      </w:r>
    </w:p>
    <w:p>
      <w:pPr>
        <w:pStyle w:val="2"/>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梅州市现有3家较大规模新型建筑板材（砌块）生产企业，合计产能约80万m</w:t>
      </w:r>
      <w:r>
        <w:rPr>
          <w:rFonts w:hint="default" w:ascii="Times New Roman" w:hAnsi="Times New Roman" w:cs="Times New Roman" w:eastAsiaTheme="minorEastAsia"/>
          <w:sz w:val="28"/>
          <w:szCs w:val="28"/>
          <w:vertAlign w:val="superscript"/>
        </w:rPr>
        <w:t>3</w:t>
      </w:r>
      <w:r>
        <w:rPr>
          <w:rFonts w:hint="default" w:ascii="Times New Roman" w:hAnsi="Times New Roman" w:cs="Times New Roman" w:eastAsiaTheme="minorEastAsia"/>
          <w:sz w:val="28"/>
          <w:szCs w:val="28"/>
        </w:rPr>
        <w:t>/年。2020年产量60万m</w:t>
      </w:r>
      <w:r>
        <w:rPr>
          <w:rFonts w:hint="default" w:ascii="Times New Roman" w:hAnsi="Times New Roman" w:cs="Times New Roman" w:eastAsiaTheme="minorEastAsia"/>
          <w:sz w:val="28"/>
          <w:szCs w:val="28"/>
          <w:vertAlign w:val="superscript"/>
        </w:rPr>
        <w:t>3</w:t>
      </w:r>
      <w:r>
        <w:rPr>
          <w:rFonts w:hint="default" w:ascii="Times New Roman" w:hAnsi="Times New Roman" w:cs="Times New Roman" w:eastAsiaTheme="minorEastAsia"/>
          <w:sz w:val="28"/>
          <w:szCs w:val="28"/>
        </w:rPr>
        <w:t>，产值1.25亿元。</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水泥预应力管桩是高附加值建材产品，地域和资源依赖性强。梅州享有大力发展预应力管桩产业先天条件，但发展滞后。目前仅有油坑集团属下一家较大规模管桩厂，产能200万m/年。</w:t>
      </w:r>
    </w:p>
    <w:p>
      <w:pPr>
        <w:pStyle w:val="2"/>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梅州市具备完备的装配式建筑建材发展条件，但起步较晚。全市现有2家装配式建筑构件生产企业。另外，平远县也规划建设一个装配式部品部件生产基地。2019年，梅州市住建局印发了《梅州市装配式建筑专项规划（2018-2025）》。2022年，发布了关于进一步贯彻落实《梅州市关于大力发展装配式建筑实施方案》的通知，提出2022年2月1日起，在政府和国有企业投资的工程项目中应实施装配式建筑，到年底前建设一个以上的装配式混凝土建筑示范项目。到2025年，梅州市实现中心城区装配式建筑占新建建筑面积的比例达到30%以上，其他地区装配式建筑占新建建筑面积的比例达到20%以上。政府投资工程装配式建筑面积占比达到50%以上的目标。</w:t>
      </w:r>
    </w:p>
    <w:p>
      <w:pPr>
        <w:pStyle w:val="2"/>
        <w:ind w:firstLine="560" w:firstLineChars="200"/>
        <w:rPr>
          <w:rFonts w:hint="default" w:ascii="Times New Roman" w:hAnsi="Times New Roman" w:cs="Times New Roman" w:eastAsiaTheme="minorEastAsia"/>
          <w:sz w:val="28"/>
          <w:szCs w:val="28"/>
        </w:rPr>
      </w:pPr>
      <w:r>
        <w:rPr>
          <w:rFonts w:ascii="Times New Roman" w:hAnsi="Times New Roman" w:cs="Times New Roman" w:eastAsiaTheme="minorEastAsia"/>
          <w:sz w:val="28"/>
          <w:szCs w:val="28"/>
        </w:rPr>
        <w:t>《梅州市绿色建材（水泥）产业集群发展规划（2021—2025年）》提出发展目标，把梅州市打造成为广东省绿色水泥建材产业基地，至2025年，梅州市水泥建材产业总产值力争达到215亿元。并根据现有水泥相关产业情况，提出了产量、环保、生产能耗等具体目标。</w:t>
      </w:r>
    </w:p>
    <w:p>
      <w:pPr>
        <w:pStyle w:val="2"/>
        <w:ind w:firstLine="420" w:firstLineChars="200"/>
        <w:rPr>
          <w:rFonts w:hint="default" w:ascii="Times New Roman" w:hAnsi="Times New Roman" w:cs="Times New Roman"/>
        </w:rPr>
      </w:pPr>
    </w:p>
    <w:p>
      <w:pPr>
        <w:spacing w:after="156" w:afterLines="50"/>
        <w:outlineLvl w:val="1"/>
        <w:rPr>
          <w:rFonts w:ascii="Times New Roman" w:hAnsi="Times New Roman" w:eastAsia="楷体" w:cs="Times New Roman"/>
          <w:b/>
          <w:bCs/>
          <w:sz w:val="30"/>
          <w:szCs w:val="30"/>
        </w:rPr>
      </w:pPr>
      <w:bookmarkStart w:id="6" w:name="_Toc116399588"/>
      <w:r>
        <w:rPr>
          <w:rFonts w:hint="eastAsia" w:ascii="Times New Roman" w:hAnsi="Times New Roman" w:eastAsia="楷体" w:cs="Times New Roman"/>
          <w:b/>
          <w:bCs/>
          <w:sz w:val="30"/>
          <w:szCs w:val="30"/>
        </w:rPr>
        <w:t>1</w:t>
      </w:r>
      <w:r>
        <w:rPr>
          <w:rFonts w:ascii="Times New Roman" w:hAnsi="Times New Roman" w:eastAsia="楷体" w:cs="Times New Roman"/>
          <w:b/>
          <w:bCs/>
          <w:sz w:val="30"/>
          <w:szCs w:val="30"/>
        </w:rPr>
        <w:t>.4 本章小结</w:t>
      </w:r>
      <w:bookmarkEnd w:id="6"/>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本章对国内绿色建筑和绿色建材的发展现状、存在问题和发展趋势进行了分析绿色建材的定义、标准尚不清晰，应积极申报把各类绿色建材认证，并积极开展企业绿色生产转型升级。政府应加大推广应用力度，进一步健全机制体制。分析了部分地市的绿色建材发展情况，包括佛山市、阜阳市、肇庆市、梅州市等。佛山市是目前华南地区唯一一个政府采购支持绿色建材促进建筑品质提升试点城市，初步建立了一套的涵盖技术标准、认证采信、管理监督等各环节的佛山特色绿色建材体系；阜阳、肇庆、梅州市根据本地区的产业基础，均制定了绿色建材相关的发展规划和目标，对于推进绿色建材发展、促进建筑品质提升起到了积极作用。</w:t>
      </w:r>
    </w:p>
    <w:p>
      <w:pPr>
        <w:pStyle w:val="2"/>
        <w:rPr>
          <w:rFonts w:hint="default" w:ascii="Times New Roman" w:hAnsi="Times New Roman" w:cs="Times New Roman"/>
        </w:rPr>
        <w:sectPr>
          <w:footerReference r:id="rId4" w:type="default"/>
          <w:pgSz w:w="11906" w:h="16838"/>
          <w:pgMar w:top="1440" w:right="1800" w:bottom="1440" w:left="1800" w:header="851" w:footer="992" w:gutter="0"/>
          <w:pgNumType w:start="1"/>
          <w:cols w:space="425" w:num="1"/>
          <w:docGrid w:type="lines" w:linePitch="312" w:charSpace="0"/>
        </w:sectPr>
      </w:pPr>
    </w:p>
    <w:p>
      <w:pPr>
        <w:pStyle w:val="3"/>
        <w:jc w:val="center"/>
        <w:rPr>
          <w:rFonts w:ascii="Times New Roman" w:hAnsi="Times New Roman" w:eastAsia="黑体" w:cs="Times New Roman"/>
          <w:sz w:val="36"/>
          <w:szCs w:val="36"/>
        </w:rPr>
      </w:pPr>
      <w:bookmarkStart w:id="7" w:name="_Toc116399589"/>
      <w:bookmarkStart w:id="8" w:name="_Hlk88582114"/>
      <w:r>
        <w:rPr>
          <w:rFonts w:ascii="Times New Roman" w:hAnsi="Times New Roman" w:eastAsia="黑体" w:cs="Times New Roman"/>
          <w:sz w:val="36"/>
          <w:szCs w:val="36"/>
        </w:rPr>
        <w:t>第二章 韶关绿色建筑与建材发展分析研究</w:t>
      </w:r>
      <w:bookmarkEnd w:id="7"/>
    </w:p>
    <w:bookmarkEnd w:id="8"/>
    <w:p>
      <w:pPr>
        <w:spacing w:after="156" w:afterLines="50"/>
        <w:outlineLvl w:val="1"/>
        <w:rPr>
          <w:rFonts w:ascii="Times New Roman" w:hAnsi="Times New Roman" w:eastAsia="楷体" w:cs="Times New Roman"/>
          <w:b/>
          <w:bCs/>
          <w:sz w:val="32"/>
          <w:szCs w:val="32"/>
        </w:rPr>
      </w:pPr>
      <w:bookmarkStart w:id="9" w:name="_Toc530058856"/>
      <w:bookmarkStart w:id="10" w:name="_Toc116399590"/>
      <w:r>
        <w:rPr>
          <w:rFonts w:ascii="Times New Roman" w:hAnsi="Times New Roman" w:eastAsia="楷体" w:cs="Times New Roman"/>
          <w:b/>
          <w:bCs/>
          <w:sz w:val="32"/>
          <w:szCs w:val="32"/>
        </w:rPr>
        <w:t>2.1 韶关市</w:t>
      </w:r>
      <w:bookmarkEnd w:id="9"/>
      <w:r>
        <w:rPr>
          <w:rFonts w:ascii="Times New Roman" w:hAnsi="Times New Roman" w:eastAsia="楷体" w:cs="Times New Roman"/>
          <w:b/>
          <w:bCs/>
          <w:sz w:val="30"/>
          <w:szCs w:val="30"/>
        </w:rPr>
        <w:t>总体</w:t>
      </w:r>
      <w:r>
        <w:rPr>
          <w:rFonts w:ascii="Times New Roman" w:hAnsi="Times New Roman" w:eastAsia="楷体" w:cs="Times New Roman"/>
          <w:b/>
          <w:bCs/>
          <w:sz w:val="32"/>
          <w:szCs w:val="32"/>
        </w:rPr>
        <w:t>情况介绍</w:t>
      </w:r>
      <w:bookmarkEnd w:id="10"/>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2.1.1 韶关区位现状</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韶关位于广东省北部，粤湘赣三省交界处，湘南经济圈、赣南经济圈、珠三角经济圈交汇中心，素有广东北大门之称，是粤港澳大湾区辐射内陆腹地的“黄金通道”和“桥头堡”。</w:t>
      </w:r>
    </w:p>
    <w:p>
      <w:pPr>
        <w:pStyle w:val="2"/>
        <w:rPr>
          <w:rFonts w:hint="default" w:ascii="Times New Roman" w:hAnsi="Times New Roman" w:cs="Times New Roman" w:eastAsiaTheme="minorEastAsia"/>
          <w:sz w:val="28"/>
          <w:szCs w:val="28"/>
        </w:rPr>
      </w:pPr>
      <w:r>
        <w:rPr>
          <w:rFonts w:hint="default" w:ascii="Times New Roman" w:hAnsi="Times New Roman" w:cs="Times New Roman"/>
        </w:rPr>
        <w:drawing>
          <wp:inline distT="0" distB="0" distL="114300" distR="114300">
            <wp:extent cx="5271135" cy="4537710"/>
            <wp:effectExtent l="0" t="0" r="5715" b="1524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0"/>
                    <a:stretch>
                      <a:fillRect/>
                    </a:stretch>
                  </pic:blipFill>
                  <pic:spPr>
                    <a:xfrm>
                      <a:off x="0" y="0"/>
                      <a:ext cx="5271135" cy="453771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图2.1-1 韶关区位图</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2.1.2 韶关</w:t>
      </w:r>
      <w:r>
        <w:rPr>
          <w:rFonts w:hint="eastAsia" w:ascii="Times New Roman" w:hAnsi="Times New Roman" w:cs="Times New Roman"/>
          <w:bCs/>
          <w:sz w:val="28"/>
          <w:szCs w:val="28"/>
        </w:rPr>
        <w:t>相关</w:t>
      </w:r>
      <w:r>
        <w:rPr>
          <w:rFonts w:ascii="Times New Roman" w:hAnsi="Times New Roman" w:cs="Times New Roman"/>
          <w:sz w:val="28"/>
          <w:szCs w:val="28"/>
        </w:rPr>
        <w:t>产业发展情况</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韶关坚持生态优先、绿色发展，积极融入和服务粤港澳大湾区建设，努力推动韶关在高水平生态保护中实现高质量发展，大力培育和发展先进装备制造、商贸物流、医药健康及大数据等新兴支柱产业，着力把韶关建设成为大湾区先进装备制造业共建基地、大湾区旅游休闲度假首选地、大湾区优质农产品生产供应基地、大湾区与内地商贸物流集散地、大湾区健康养生目的地。</w:t>
      </w:r>
    </w:p>
    <w:p>
      <w:pPr>
        <w:pStyle w:val="2"/>
        <w:snapToGrid w:val="0"/>
        <w:spacing w:line="360" w:lineRule="auto"/>
        <w:ind w:firstLine="562" w:firstLineChars="200"/>
        <w:rPr>
          <w:rFonts w:hint="default" w:ascii="Times New Roman" w:hAnsi="Times New Roman" w:cs="Times New Roman"/>
          <w:sz w:val="28"/>
          <w:szCs w:val="28"/>
        </w:rPr>
      </w:pPr>
      <w:r>
        <w:rPr>
          <w:rFonts w:hint="default" w:ascii="Times New Roman" w:hAnsi="Times New Roman" w:cs="Times New Roman"/>
          <w:b/>
          <w:bCs/>
          <w:sz w:val="28"/>
          <w:szCs w:val="28"/>
        </w:rPr>
        <w:t>装备制造业。</w:t>
      </w:r>
      <w:r>
        <w:rPr>
          <w:rFonts w:hint="default" w:ascii="Times New Roman" w:hAnsi="Times New Roman" w:cs="Times New Roman"/>
          <w:sz w:val="28"/>
          <w:szCs w:val="28"/>
        </w:rPr>
        <w:t>是韶关最大的工业产业体系，也是广东省装备制造业主要的基础零部件基地。经过40多年的发展，韶关市装备制造业在国内和省内同行业有较大影响力的产品主要有6大类:汽车零部件、金属铸锻件、建筑矿山工程机械、液压油缸、发配电成套设备、铝箔。目前，韶关市拥有装备制造业规上企业上百家；国家级企业技术中心1个、省级企业技术中心和工程技术研发中心41个、市级工程技术研发中心31个；“液压油缸”、“铝箔”两个省级特色产业基地。目前，韶关正全力打造珠江西岸先进装备制造产业带配套区、广东装备制造业的重要基地。</w:t>
      </w:r>
    </w:p>
    <w:p>
      <w:pPr>
        <w:pStyle w:val="2"/>
        <w:snapToGrid w:val="0"/>
        <w:spacing w:line="360" w:lineRule="auto"/>
        <w:ind w:firstLine="562" w:firstLineChars="200"/>
        <w:rPr>
          <w:rFonts w:hint="default" w:ascii="Times New Roman" w:hAnsi="Times New Roman" w:cs="Times New Roman"/>
          <w:sz w:val="28"/>
          <w:szCs w:val="28"/>
        </w:rPr>
      </w:pPr>
      <w:r>
        <w:rPr>
          <w:rFonts w:hint="default" w:ascii="Times New Roman" w:hAnsi="Times New Roman" w:cs="Times New Roman"/>
          <w:b/>
          <w:bCs/>
          <w:sz w:val="28"/>
          <w:szCs w:val="28"/>
        </w:rPr>
        <w:t>商贸物流产业。</w:t>
      </w:r>
      <w:r>
        <w:rPr>
          <w:rFonts w:hint="default" w:ascii="Times New Roman" w:hAnsi="Times New Roman" w:cs="Times New Roman"/>
          <w:sz w:val="28"/>
          <w:szCs w:val="28"/>
        </w:rPr>
        <w:t>韶关拥有良好的交通区位条件，是国家规划发展的一级铁路枢纽、国家公路运输枢纽城市、国家快递物流园区二级布局节点城市、广东省区域物流节点城市，且商贸物流产业也是我市重点发展的六大新兴支柱产业之一。韶关拥有最全面的对外物流通道，是广东省唯一同时具备铁路、公路、水路对外口岸的山区市，有粤北地区唯一的跨境电商和个人物品快件监管场所，有直达港澳的小型船舶航线，有韶关至深圳盐田港“铁海联运”班列，满足企业货达全球的需求。据统计，2020年社会消费品零售总额445.25亿元，货物运输、通用航空生产、仓储和邮政快递服务业增加值35.57亿元。</w:t>
      </w:r>
      <w:r>
        <w:rPr>
          <w:rFonts w:ascii="Times New Roman" w:hAnsi="Times New Roman" w:cs="Times New Roman"/>
          <w:sz w:val="28"/>
          <w:szCs w:val="28"/>
        </w:rPr>
        <w:t>“</w:t>
      </w:r>
      <w:r>
        <w:rPr>
          <w:rFonts w:hint="default" w:ascii="Times New Roman" w:hAnsi="Times New Roman" w:cs="Times New Roman"/>
          <w:sz w:val="28"/>
          <w:szCs w:val="28"/>
        </w:rPr>
        <w:t>十三五”时期，北江港区乌石枢纽项目启动建设，该项目建成后将充分发挥北江航运的优势，实现海运、内陆河运和铁路运输高效协作，实现“铁水联运”，大幅降低大宗商品进出物流成本。发展定位将韶关建设成为大湾区与内地商贸物流集散地。重点发展推动韶关港、粤北国际物流中心及空港物流园建设，积极承接珠三角专业市场转移，发展专业市场经济，积极引进并合理布局城市综合体，不断提升市民购物环境。</w:t>
      </w:r>
    </w:p>
    <w:p>
      <w:pPr>
        <w:pStyle w:val="2"/>
        <w:snapToGrid w:val="0"/>
        <w:spacing w:line="360" w:lineRule="auto"/>
        <w:ind w:firstLine="562" w:firstLineChars="200"/>
        <w:rPr>
          <w:rFonts w:hint="default" w:ascii="Times New Roman" w:hAnsi="Times New Roman" w:cs="Times New Roman"/>
          <w:sz w:val="28"/>
          <w:szCs w:val="28"/>
        </w:rPr>
      </w:pPr>
      <w:r>
        <w:rPr>
          <w:rFonts w:hint="default" w:ascii="Times New Roman" w:hAnsi="Times New Roman" w:cs="Times New Roman"/>
          <w:b/>
          <w:bCs/>
          <w:sz w:val="28"/>
          <w:szCs w:val="28"/>
        </w:rPr>
        <w:t>大数据产业。</w:t>
      </w:r>
      <w:r>
        <w:rPr>
          <w:rFonts w:hint="default" w:ascii="Times New Roman" w:hAnsi="Times New Roman" w:cs="Times New Roman"/>
          <w:sz w:val="28"/>
          <w:szCs w:val="28"/>
        </w:rPr>
        <w:t>韶关大数据产业园以一区一园一城为主要规划方向，涵盖大数据交易中心、双创孵化园、互联网+小镇、华南数谷数据中心等大数据产业基地；以及6大数据机房中心。“一区”即在芙蓉新区核心地段进行大数据产业总部办公、研究及生活服务布局；“一园”即在莞韶产业园进行数据中心、端产品制造及应用示范布局；“一城”即在黄沙坪“互联网+小镇”进行大数据双创产业孵化机大数据深度应用布局。</w:t>
      </w:r>
    </w:p>
    <w:p>
      <w:pPr>
        <w:pStyle w:val="2"/>
        <w:snapToGrid w:val="0"/>
        <w:spacing w:line="360" w:lineRule="auto"/>
        <w:ind w:firstLine="562" w:firstLineChars="200"/>
        <w:rPr>
          <w:rFonts w:hint="default" w:ascii="Times New Roman" w:hAnsi="Times New Roman" w:cs="Times New Roman"/>
          <w:sz w:val="28"/>
          <w:szCs w:val="28"/>
        </w:rPr>
      </w:pPr>
      <w:r>
        <w:rPr>
          <w:rFonts w:hint="default" w:ascii="Times New Roman" w:hAnsi="Times New Roman" w:cs="Times New Roman"/>
          <w:b/>
          <w:bCs/>
          <w:sz w:val="28"/>
          <w:szCs w:val="28"/>
        </w:rPr>
        <w:t>竹木</w:t>
      </w:r>
      <w:r>
        <w:rPr>
          <w:rFonts w:ascii="Times New Roman" w:hAnsi="Times New Roman" w:cs="Times New Roman"/>
          <w:b/>
          <w:bCs/>
          <w:sz w:val="28"/>
          <w:szCs w:val="28"/>
        </w:rPr>
        <w:t>产业</w:t>
      </w:r>
      <w:r>
        <w:rPr>
          <w:rFonts w:hint="default" w:ascii="Times New Roman" w:hAnsi="Times New Roman" w:cs="Times New Roman"/>
          <w:b/>
          <w:bCs/>
          <w:sz w:val="28"/>
          <w:szCs w:val="28"/>
        </w:rPr>
        <w:t>。</w:t>
      </w:r>
      <w:r>
        <w:rPr>
          <w:rFonts w:hint="default" w:ascii="Times New Roman" w:hAnsi="Times New Roman" w:cs="Times New Roman"/>
          <w:sz w:val="28"/>
          <w:szCs w:val="28"/>
        </w:rPr>
        <w:t>韶关地处南岭山脉南麓，全市林业用地面积2171万亩，森林覆盖率达74.5%。近年来，韶关市积极探索林业资源，资产价值化实现机制，推动林业一二三产业融合发展。2021年，韶关市全市发展林下经济面积313.27万亩，林业产业产值230.07亿元。韶关市是全省最大的毛竹基地和竹子主产区之一，竹林总面积达233万亩，发展木材加工业，尤其是竹木深加工业是提高林业附加值，是壮大林业经济的重要手段。党的十八大以来，韶关市林业局大力开展林业经济产业链招商引资，助推企业转型升级。全市现有人造板、松香、家具、竹浆造纸、竹子复合材料、竹工艺品等各类竹木加工企业459家。2022年上半年，全市林业产值70.79亿元，同比增长14.66%。</w:t>
      </w:r>
    </w:p>
    <w:p>
      <w:pPr>
        <w:pStyle w:val="2"/>
        <w:snapToGrid w:val="0"/>
        <w:spacing w:line="360" w:lineRule="auto"/>
        <w:ind w:firstLine="562" w:firstLineChars="200"/>
        <w:jc w:val="left"/>
        <w:rPr>
          <w:rFonts w:hint="default" w:ascii="Times New Roman" w:hAnsi="Times New Roman" w:cs="Times New Roman"/>
          <w:sz w:val="28"/>
          <w:szCs w:val="28"/>
        </w:rPr>
      </w:pPr>
      <w:r>
        <w:rPr>
          <w:rFonts w:hint="default" w:ascii="Times New Roman" w:hAnsi="Times New Roman" w:cs="Times New Roman"/>
          <w:b/>
          <w:bCs/>
          <w:sz w:val="28"/>
          <w:szCs w:val="28"/>
        </w:rPr>
        <w:t>矿产资源</w:t>
      </w:r>
      <w:r>
        <w:rPr>
          <w:rFonts w:ascii="Times New Roman" w:hAnsi="Times New Roman" w:cs="Times New Roman"/>
          <w:b/>
          <w:bCs/>
          <w:sz w:val="28"/>
          <w:szCs w:val="28"/>
        </w:rPr>
        <w:t>和采矿业</w:t>
      </w:r>
      <w:r>
        <w:rPr>
          <w:rFonts w:hint="default" w:ascii="Times New Roman" w:hAnsi="Times New Roman" w:cs="Times New Roman"/>
          <w:b/>
          <w:bCs/>
          <w:sz w:val="28"/>
          <w:szCs w:val="28"/>
        </w:rPr>
        <w:t>。</w:t>
      </w:r>
      <w:r>
        <w:rPr>
          <w:rFonts w:hint="default" w:ascii="Times New Roman" w:hAnsi="Times New Roman" w:cs="Times New Roman"/>
          <w:sz w:val="28"/>
          <w:szCs w:val="28"/>
        </w:rPr>
        <w:t>韶关地处南岭巨型纬向构造带中段，国家级重点成矿带南岭成矿带横贯全市，成矿地质条件优越，矿产资源种类较齐全，多种矿产资源禀赋居全省前列。截至 2020 年底，全市共发现矿产种类 88 种，已查明资源储量的矿产 56 种，查明资源储量矿产地 351 处，其中能源矿产 63 处，金属矿产103 处，非金属矿产 180 处，水气矿产 5 处。韶关是“中国有色金属之乡”，有“中国锌都”称号，主要有铁、铜、铅、锌、钨、钼、锑、稀土等，其中铁、铜、铅、锌、钨等为</w:t>
      </w:r>
      <w:bookmarkStart w:id="11" w:name="_Hlk116377164"/>
      <w:r>
        <w:rPr>
          <w:rFonts w:hint="default" w:ascii="Times New Roman" w:hAnsi="Times New Roman" w:cs="Times New Roman"/>
          <w:sz w:val="28"/>
          <w:szCs w:val="28"/>
        </w:rPr>
        <w:t>韶关优势矿产</w:t>
      </w:r>
      <w:bookmarkEnd w:id="11"/>
      <w:r>
        <w:rPr>
          <w:rFonts w:hint="default" w:ascii="Times New Roman" w:hAnsi="Times New Roman" w:cs="Times New Roman"/>
          <w:sz w:val="28"/>
          <w:szCs w:val="28"/>
        </w:rPr>
        <w:t>，资源禀赋居全省前列，铅、锌、铁、铜、钨、稀土等矿产资源丰富，占全省比例较大。非金属矿产主要有萤石、石英、石灰岩、花岗岩、陶瓷土等，萤石和石灰岩矿为韶关优势矿种，萤石矿产地主要分布在乐昌、仁化等地；石英主要分布在仁化、乐昌等地，主要矿区是乐昌白石岭矿区；石灰岩主要分为熔剂用灰岩、水泥用石灰岩和建筑石料用灰岩，主要分布在武江、乐昌、翁源、新丰、乳源等地，资源分布较广，且开发利用价值较高。</w:t>
      </w:r>
      <w:r>
        <w:rPr>
          <w:rFonts w:ascii="Times New Roman" w:hAnsi="Times New Roman" w:cs="Times New Roman"/>
          <w:sz w:val="28"/>
          <w:szCs w:val="28"/>
        </w:rPr>
        <w:t>全市有效采矿许可证77个，以铅、锌钨、铁、铜、锑、萤石、石英、陶瓷土、水泥用灰岩、建筑石料用灰岩（花岗岩）、地热、矿泉水等为主。其中，金属类矿山15个，约占总数的20%；非金属矿山50个，约占总数的65%。按矿山生产规模分：大型矿山10，中型矿山5个，小新矿山6</w:t>
      </w:r>
      <w:r>
        <w:rPr>
          <w:rFonts w:hint="default" w:ascii="Times New Roman" w:hAnsi="Times New Roman" w:cs="Times New Roman"/>
          <w:sz w:val="28"/>
          <w:szCs w:val="28"/>
        </w:rPr>
        <w:t>2</w:t>
      </w:r>
      <w:r>
        <w:rPr>
          <w:rFonts w:ascii="Times New Roman" w:hAnsi="Times New Roman" w:cs="Times New Roman"/>
          <w:sz w:val="28"/>
          <w:szCs w:val="28"/>
        </w:rPr>
        <w:t>个。截止至2</w:t>
      </w:r>
      <w:r>
        <w:rPr>
          <w:rFonts w:hint="default" w:ascii="Times New Roman" w:hAnsi="Times New Roman" w:cs="Times New Roman"/>
          <w:sz w:val="28"/>
          <w:szCs w:val="28"/>
        </w:rPr>
        <w:t>020</w:t>
      </w:r>
      <w:r>
        <w:rPr>
          <w:rFonts w:ascii="Times New Roman" w:hAnsi="Times New Roman" w:cs="Times New Roman"/>
          <w:sz w:val="28"/>
          <w:szCs w:val="28"/>
        </w:rPr>
        <w:t>年底，全市持证矿山7</w:t>
      </w:r>
      <w:r>
        <w:rPr>
          <w:rFonts w:hint="default" w:ascii="Times New Roman" w:hAnsi="Times New Roman" w:cs="Times New Roman"/>
          <w:sz w:val="28"/>
          <w:szCs w:val="28"/>
        </w:rPr>
        <w:t>7</w:t>
      </w:r>
      <w:r>
        <w:rPr>
          <w:rFonts w:ascii="Times New Roman" w:hAnsi="Times New Roman" w:cs="Times New Roman"/>
          <w:sz w:val="28"/>
          <w:szCs w:val="28"/>
        </w:rPr>
        <w:t>个。资源集约开发程度显著提升。</w:t>
      </w:r>
    </w:p>
    <w:p>
      <w:pPr>
        <w:pStyle w:val="2"/>
        <w:snapToGrid w:val="0"/>
        <w:spacing w:line="360" w:lineRule="auto"/>
        <w:ind w:firstLine="560" w:firstLineChars="200"/>
        <w:jc w:val="left"/>
        <w:rPr>
          <w:rFonts w:hint="default" w:ascii="Times New Roman" w:hAnsi="Times New Roman" w:cs="Times New Roman"/>
          <w:sz w:val="28"/>
          <w:szCs w:val="28"/>
        </w:rPr>
      </w:pPr>
      <w:r>
        <w:rPr>
          <w:rFonts w:hint="default" w:ascii="Times New Roman" w:hAnsi="Times New Roman" w:cs="Times New Roman"/>
          <w:sz w:val="28"/>
          <w:szCs w:val="28"/>
        </w:rPr>
        <w:t>韶关市矿产资源赋存的主要特点</w:t>
      </w:r>
      <w:r>
        <w:rPr>
          <w:rFonts w:ascii="Times New Roman" w:hAnsi="Times New Roman" w:cs="Times New Roman"/>
          <w:sz w:val="28"/>
          <w:szCs w:val="28"/>
        </w:rPr>
        <w:t>：</w:t>
      </w:r>
      <w:r>
        <w:rPr>
          <w:rFonts w:hint="default" w:ascii="Times New Roman" w:hAnsi="Times New Roman" w:cs="Times New Roman"/>
          <w:sz w:val="28"/>
          <w:szCs w:val="28"/>
        </w:rPr>
        <w:t>一是分布广，大部分已发现的矿种在市辖 10 个县（市、区）均有分布；二是小型矿床多，大、中型矿床少；三是共生伴生矿多，单一矿少，特别是金属矿产。</w:t>
      </w:r>
      <w:r>
        <w:rPr>
          <w:rFonts w:ascii="Times New Roman" w:hAnsi="Times New Roman" w:cs="Times New Roman"/>
          <w:sz w:val="28"/>
          <w:szCs w:val="28"/>
        </w:rPr>
        <w:t>韶关市矿产资源开发利用的主要特点：一是小型矿山多，大、中型矿山少；二是低价值矿种的矿山多，高价值矿种的矿山少；三是普通采、选的矿山多，矿产品深加工形成产业链的企业少。</w:t>
      </w:r>
    </w:p>
    <w:p>
      <w:pPr>
        <w:pStyle w:val="2"/>
        <w:snapToGrid w:val="0"/>
        <w:spacing w:line="360" w:lineRule="auto"/>
        <w:ind w:firstLine="560" w:firstLineChars="200"/>
        <w:jc w:val="left"/>
        <w:rPr>
          <w:rFonts w:hint="default" w:ascii="Times New Roman" w:hAnsi="Times New Roman" w:cs="Times New Roman"/>
          <w:sz w:val="28"/>
          <w:szCs w:val="28"/>
        </w:rPr>
      </w:pPr>
      <w:r>
        <w:rPr>
          <w:rFonts w:ascii="Times New Roman" w:hAnsi="Times New Roman" w:cs="Times New Roman"/>
          <w:sz w:val="28"/>
          <w:szCs w:val="28"/>
        </w:rPr>
        <w:t>根据《韶关市矿产资源总体规划（2021-2025年）》（公开征求意见稿）等文件，武江、浈江和曲江三个市辖区，大部分范围划入韶关市城市规划区，城市规划区内应严格限制矿产资源勘查，禁止新设采矿权，已有矿山采矿权出让期满后自行关闭。其它区域在不损害生态功能与严格控制开发强度的前提下合理开发利用矿产资源。乐昌市、仁化县、始兴县、翁源县、新丰县和曲江区南部区域为韶关市经济增长的重点开发区域，区内可重点勘查开发铁、铜、钼、钨、铅、锌、稀土、铌钽、镓、萤石硅石、建材非金属等矿产资源。南雄市、乳源县主要为农业生产区和生态功能区，要在严格控制开发强度、维护生态屏障功能的基础上，依托资源优势，适度发展矿业开采，在交通便利的区域开发建筑用石灰岩、花岗岩、和砂页岩等非金属矿产。</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矿产资源禀赋丰富，但相关绿色建材的深加工产业链仍有待发展。韶关本地主要矿产中，与绿色建材关联度较高的主要有铁矿、石英矿、石灰岩等：如铁矿石冶炼成为钢材后，通过进一步的加工，可成为钢结构装配式部品部件、高性能机电设备、机械式停车设备等绿色建材；石英矿是高性能玻璃、光伏板等绿色建材的重要原材料。石灰岩是生产水泥、石灰、石材的主要原料，可进一步加工成为预拌混凝土、透水铺装、环保装饰面板等绿色建材。</w:t>
      </w:r>
    </w:p>
    <w:p>
      <w:pPr>
        <w:pStyle w:val="2"/>
        <w:snapToGrid w:val="0"/>
        <w:spacing w:line="360" w:lineRule="auto"/>
        <w:ind w:firstLine="562" w:firstLineChars="200"/>
        <w:rPr>
          <w:rFonts w:hint="default" w:ascii="Times New Roman" w:hAnsi="Times New Roman" w:cs="Times New Roman"/>
          <w:sz w:val="28"/>
          <w:szCs w:val="28"/>
        </w:rPr>
      </w:pPr>
      <w:r>
        <w:rPr>
          <w:rFonts w:ascii="Times New Roman" w:hAnsi="Times New Roman" w:cs="Times New Roman"/>
          <w:b/>
          <w:bCs/>
          <w:sz w:val="28"/>
          <w:szCs w:val="28"/>
        </w:rPr>
        <w:t>新能源产业。</w:t>
      </w:r>
      <w:r>
        <w:rPr>
          <w:rFonts w:ascii="Times New Roman" w:hAnsi="Times New Roman" w:cs="Times New Roman"/>
          <w:sz w:val="28"/>
          <w:szCs w:val="28"/>
        </w:rPr>
        <w:t>韶关属中亚热带温润型季风气候区，一年四季均受季风影响，风能资源较为丰富，80米高处年平均风速约为5.5—6.5米/秒，其中南雄市、新丰县年平均风速约为7米/秒。根据《广东省陆上风电发展规划（2016—2030）》，全省规划布局建设风电场址147个，总装机容量约870万千瓦，其中韶关共有40个项目列入规划，总装机容量为276.29万千瓦。韶关市的太阳能资源富集，近30年年均总辐射达到4346兆焦/平方米，折合太阳能年发电小时数达1207小时，适宜光伏发电项目开发的空间资源较为充足。截至2021年12月底，韶关市已建成各类光伏发电项目3597个（含分布式光伏），总装机容量89万千瓦。</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2.1.3 韶关绿色建筑与建材发展思路</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“十四五”时期，韶关区位优势、交通优势、资源优势、产业基础优势和政策红利优势将更为凸显，高质量发展新优势新动能将充分激发，未来发展空间广阔、潜力巨大。2020 年 11 月 27 日广东省第十三届人民代表大会常务委员会第二十六次会议通过的《广东省绿色建筑条例》，正式标志广东省的绿色建筑发展迈入法治轨道，全面推进绿色建筑高质量发展。中共中央、国务院印发的《粤港澳大湾区发展规划纲要》提出，粤港澳大湾区要建成充满活力的世界级城市群、国际科技创新中心、“一带一路”建设的重要支撑、内地与港澳深度合作示范区。随着大湾区建设的继续推进、经济活力持续释放，随之而生更多基建、住房需求也将带来更高的绿色建材需求。</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 xml:space="preserve">同时，韶关生态文明建设存在一些短板弱项，经济总量小、传统产业占比仍然较大，中心城区辐射带动能力不强，城乡二元结构问题突出，营商环境亟需优化，民生建设短板较多等问题。韶关在践行绿色发展中，突出生态优先、绿色发展，全力筑牢粤北生态屏障，打造绿色发展韶关样板，奋力争当北部生态发展区高质量发展排头兵。韶关将着力发展“需要山水而不污染山水”的产业，推进产业生态化和生态产业化；推动传统产业转型升级，坚定不移发展绿色工业；推动产业向园区集中集聚集约发展，加快实现产业结构由中低端向中高端迈进，打造“绿水青山就是金山银山”广东样板， </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因此，韶关应以绿色建筑发展为契机，以推动建筑产业绿色化和绿色产品产业化为创新思路，把握粤港澳大湾区建设机遇，充分发挥韶关市本地产业和资源优势，借助新型工业化发展趋势，合理规划绿色建筑与建材产业，重点发力优势环境产品和产业，大力促进投资投入，力争形成规模产出。</w:t>
      </w:r>
    </w:p>
    <w:p>
      <w:pPr>
        <w:spacing w:after="156" w:afterLines="50"/>
        <w:outlineLvl w:val="1"/>
        <w:rPr>
          <w:rFonts w:ascii="Times New Roman" w:hAnsi="Times New Roman" w:eastAsia="楷体" w:cs="Times New Roman"/>
          <w:b/>
          <w:bCs/>
          <w:sz w:val="32"/>
          <w:szCs w:val="32"/>
        </w:rPr>
      </w:pPr>
      <w:bookmarkStart w:id="12" w:name="_Toc116399591"/>
      <w:r>
        <w:rPr>
          <w:rFonts w:ascii="Times New Roman" w:hAnsi="Times New Roman" w:eastAsia="楷体" w:cs="Times New Roman"/>
          <w:b/>
          <w:bCs/>
          <w:sz w:val="32"/>
          <w:szCs w:val="32"/>
        </w:rPr>
        <w:t>2.2 韶关绿色建筑与建材发展现状</w:t>
      </w:r>
      <w:bookmarkEnd w:id="12"/>
    </w:p>
    <w:p>
      <w:pPr>
        <w:pStyle w:val="5"/>
        <w:spacing w:before="0" w:after="156" w:afterLines="50" w:line="360" w:lineRule="auto"/>
        <w:rPr>
          <w:rFonts w:ascii="Times New Roman" w:hAnsi="Times New Roman" w:cs="Times New Roman"/>
          <w:sz w:val="24"/>
        </w:rPr>
      </w:pPr>
      <w:r>
        <w:rPr>
          <w:rFonts w:ascii="Times New Roman" w:hAnsi="Times New Roman" w:cs="Times New Roman"/>
          <w:sz w:val="28"/>
          <w:szCs w:val="28"/>
        </w:rPr>
        <w:t>2.2.1 绿色建筑与建筑节能工作成效</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绿色建筑起步稍晚，但发展迅速。近年来在积极落实完成广东省的相关工作部署的同时，根据韶关市地情相继出台了《韶关市绿色建筑行动实施方案》、《关于加快推进全市绿色建筑发展工作的通知》（韶府办明电〔2013〕277 号）、《关于对韶关市绿色建筑建设项目实行绿色建筑措施落实告知性备案的通知》（韶市建字〔2018〕19号）等一系列规划和政策，有力指引和推广了韶关市绿色建筑发展。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高度重视绿色建筑发展和新建建筑节能准入制度的建设工作，把绿色建筑发展和建筑节能工作列入重要议事日程。全方位、多角度、图文并茂地通过电视、互联网等各种媒体深入持久地大力宣传和报道相关的政策法规、建筑节能工作的重大意义和工作事迹，取得良好的社会效果。组织全市建筑节能管理人员和专业技术人员参加行政执法、专业技术培训班，培养了一大批业务骨干，提高了全市建筑节能行政执法能力和服务水平，有效地促进了各项工作的开展。按照市政府《关于加快推进全市绿色建筑发展工作的通知》（韶府办明电〔2013〕277号）要求，积极组织符合条件的项目申报绿色建筑评价标识。按照《关于对韶关市绿色建筑建设项目实行绿色建筑措施落实告知性备案的通知》（韶市建字〔2018〕19号）要求，实施绿色建筑措施落实告知性备案制度，确保绿色建筑措施落实到位。</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据统计，“十三五”期间全市新建建筑节能标准设计阶段执行率达到100%，施工阶段建筑节能强制性标准执行比例达到100%。全市共计181个项目取得绿色建筑标识证书，绿色建筑面积910.57万平方米。</w:t>
      </w:r>
    </w:p>
    <w:p>
      <w:pPr>
        <w:pStyle w:val="26"/>
        <w:spacing w:before="156" w:beforeLines="50" w:after="156" w:afterLines="50" w:line="240" w:lineRule="auto"/>
        <w:ind w:left="0" w:leftChars="0"/>
        <w:jc w:val="center"/>
        <w:rPr>
          <w:rFonts w:cs="Times New Roman"/>
          <w:szCs w:val="21"/>
        </w:rPr>
      </w:pPr>
      <w:r>
        <w:rPr>
          <w:rFonts w:cs="Times New Roman"/>
          <w:szCs w:val="21"/>
        </w:rPr>
        <w:t>表2.2-1  韶关市近年绿色建筑发展规模</w:t>
      </w:r>
    </w:p>
    <w:tbl>
      <w:tblPr>
        <w:tblStyle w:val="19"/>
        <w:tblW w:w="83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6"/>
        <w:gridCol w:w="2835"/>
        <w:gridCol w:w="3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年份</w:t>
            </w:r>
          </w:p>
        </w:tc>
        <w:tc>
          <w:tcPr>
            <w:tcW w:w="283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绿色建筑项目数量（个）</w:t>
            </w:r>
          </w:p>
        </w:tc>
        <w:tc>
          <w:tcPr>
            <w:tcW w:w="3119"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绿色建筑面积（万平方米）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2016年</w:t>
            </w:r>
          </w:p>
        </w:tc>
        <w:tc>
          <w:tcPr>
            <w:tcW w:w="283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8</w:t>
            </w:r>
          </w:p>
        </w:tc>
        <w:tc>
          <w:tcPr>
            <w:tcW w:w="3119"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30.05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2017年</w:t>
            </w:r>
          </w:p>
        </w:tc>
        <w:tc>
          <w:tcPr>
            <w:tcW w:w="283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26</w:t>
            </w:r>
          </w:p>
        </w:tc>
        <w:tc>
          <w:tcPr>
            <w:tcW w:w="3119"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190.27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2018年</w:t>
            </w:r>
          </w:p>
        </w:tc>
        <w:tc>
          <w:tcPr>
            <w:tcW w:w="283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16</w:t>
            </w:r>
          </w:p>
        </w:tc>
        <w:tc>
          <w:tcPr>
            <w:tcW w:w="3119"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80.55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2019年</w:t>
            </w:r>
          </w:p>
        </w:tc>
        <w:tc>
          <w:tcPr>
            <w:tcW w:w="283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50</w:t>
            </w:r>
          </w:p>
        </w:tc>
        <w:tc>
          <w:tcPr>
            <w:tcW w:w="3119"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297.03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2020年</w:t>
            </w:r>
          </w:p>
        </w:tc>
        <w:tc>
          <w:tcPr>
            <w:tcW w:w="2835"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81</w:t>
            </w:r>
          </w:p>
        </w:tc>
        <w:tc>
          <w:tcPr>
            <w:tcW w:w="3119"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312.67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合计</w:t>
            </w:r>
          </w:p>
        </w:tc>
        <w:tc>
          <w:tcPr>
            <w:tcW w:w="2835"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181</w:t>
            </w:r>
          </w:p>
        </w:tc>
        <w:tc>
          <w:tcPr>
            <w:tcW w:w="3119"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910.57</w:t>
            </w:r>
          </w:p>
        </w:tc>
      </w:tr>
    </w:tbl>
    <w:p>
      <w:pPr>
        <w:pStyle w:val="26"/>
        <w:spacing w:before="156" w:beforeLines="50" w:after="156" w:afterLines="50" w:line="240" w:lineRule="auto"/>
        <w:ind w:left="0" w:leftChars="0"/>
        <w:jc w:val="center"/>
        <w:rPr>
          <w:rFonts w:cs="Times New Roman"/>
          <w:sz w:val="22"/>
          <w:szCs w:val="22"/>
        </w:rPr>
      </w:pPr>
    </w:p>
    <w:p>
      <w:pPr>
        <w:pStyle w:val="5"/>
        <w:spacing w:before="0" w:after="156" w:afterLines="50" w:line="360" w:lineRule="auto"/>
        <w:rPr>
          <w:rFonts w:ascii="Times New Roman" w:hAnsi="Times New Roman" w:cs="Times New Roman"/>
          <w:sz w:val="28"/>
          <w:szCs w:val="28"/>
        </w:rPr>
      </w:pPr>
      <w:bookmarkStart w:id="13" w:name="_Toc18621"/>
      <w:bookmarkStart w:id="14" w:name="_Toc17941"/>
      <w:r>
        <w:rPr>
          <w:rFonts w:ascii="Times New Roman" w:hAnsi="Times New Roman" w:cs="Times New Roman"/>
          <w:sz w:val="28"/>
          <w:szCs w:val="28"/>
        </w:rPr>
        <w:t>2.2.2 装配式建造、绿色施工开展情况</w:t>
      </w:r>
      <w:bookmarkEnd w:id="13"/>
      <w:bookmarkEnd w:id="14"/>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国务院办公厅关于大力发展装配式建筑的指导意见》（国办发〔2016〕71号）与《广东省人民政府办公厅关于大力发展装配式建筑的实施意见》（粤府办〔2017〕28号）两份文件先后提出了各省市的装配式建筑发展要求。在此背景下，韶关市政府积极响应党中央及国务院号召，陆续发布了多项政策，促进建筑业转型升级。韶关市住房城乡建设局为加快推进我市装配式建筑发展，切实解决韶关市实际问题，编制了《韶关市装配式建筑发展规划（2018～2025年）》，该文件有助于全面提升韶关市装配式建筑水平。</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目前，韶关市装配式建筑的发展仍然比较缓慢，装配式建筑涉及的相关技术及标准体系开发、部品部件的研发及生产、现场装配式施工及管理、项目验收及绿色运营均处于较低水平，装配式建筑在韶关市也尚未实现大规模应用，新建及改造项目中采用装配式建筑技术的建筑比率非常低，装配式建筑仍主要表现为部分钢结构工业厂房的建设，公共与民用建筑基本未有涉及。此外，对于预制构件生产，不仅建筑预制构件主要受力与结构部件，如预制剪力墙、预制梁、预制柱、整体卫浴、整体厨房等尚无生产经验，即使是相对简单的内外墙板、楼板、楼梯、阳台板、景观等均较少涉及，装配式建筑发展仍处于起步阶段。</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中央推动市场化改革和城镇化、广东强调区域发展平衡、振兴粤东西北计划、以珠三角带动环珠三角发展、促进粤东西北地区地级市城区扩容提质等综合利好形势作用下，韶关将迎来新一轮城市建设高潮，装配式建筑在韶关的发展将进入快车道，适应装配式建筑发展的完善的产业结构和成熟市场体制将逐渐形成，一批能够进行工业化施工的工程项目总承包、设计施工一体化的施工企业将大量涌现出来，并最终实现建筑产品节能、环保、全生命周期价值最大化的装配式建筑可持续发展道路。</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据统计，“十三五”期间，韶关市建成装配式建筑项目55个，建筑面积累计达到71.8万平方米。</w:t>
      </w:r>
    </w:p>
    <w:p>
      <w:pPr>
        <w:pStyle w:val="26"/>
        <w:spacing w:before="156" w:beforeLines="50" w:after="156" w:afterLines="50" w:line="240" w:lineRule="auto"/>
        <w:ind w:left="0" w:leftChars="0"/>
        <w:jc w:val="center"/>
        <w:rPr>
          <w:rFonts w:cs="Times New Roman"/>
          <w:szCs w:val="21"/>
        </w:rPr>
      </w:pPr>
      <w:r>
        <w:rPr>
          <w:rFonts w:cs="Times New Roman"/>
          <w:szCs w:val="21"/>
        </w:rPr>
        <w:t>表2.2-2  韶关市近年装配式建筑发展规模</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840" w:type="dxa"/>
            <w:vAlign w:val="center"/>
          </w:tcPr>
          <w:p>
            <w:pPr>
              <w:pStyle w:val="26"/>
              <w:spacing w:before="93" w:beforeLines="30" w:after="93" w:afterLines="30" w:line="240" w:lineRule="auto"/>
              <w:ind w:left="0" w:leftChars="0"/>
              <w:jc w:val="center"/>
              <w:rPr>
                <w:rFonts w:eastAsia="宋体" w:cs="Times New Roman"/>
                <w:szCs w:val="21"/>
              </w:rPr>
            </w:pPr>
            <w:r>
              <w:rPr>
                <w:rFonts w:hint="eastAsia" w:eastAsia="宋体" w:cs="Times New Roman"/>
                <w:szCs w:val="21"/>
              </w:rPr>
              <w:t>年份</w:t>
            </w:r>
          </w:p>
        </w:tc>
        <w:tc>
          <w:tcPr>
            <w:tcW w:w="2841" w:type="dxa"/>
            <w:vAlign w:val="center"/>
          </w:tcPr>
          <w:p>
            <w:pPr>
              <w:pStyle w:val="26"/>
              <w:spacing w:before="93" w:beforeLines="30" w:after="93" w:afterLines="30" w:line="240" w:lineRule="auto"/>
              <w:ind w:left="0" w:leftChars="0"/>
              <w:jc w:val="center"/>
              <w:rPr>
                <w:rFonts w:eastAsia="宋体" w:cs="Times New Roman"/>
                <w:szCs w:val="21"/>
              </w:rPr>
            </w:pPr>
            <w:r>
              <w:rPr>
                <w:rFonts w:hint="eastAsia" w:eastAsia="宋体" w:cs="Times New Roman"/>
                <w:szCs w:val="21"/>
              </w:rPr>
              <w:t>装配式建筑项目数量</w:t>
            </w:r>
          </w:p>
          <w:p>
            <w:pPr>
              <w:pStyle w:val="26"/>
              <w:spacing w:before="93" w:beforeLines="30" w:after="93" w:afterLines="30" w:line="240" w:lineRule="auto"/>
              <w:ind w:left="0" w:leftChars="0"/>
              <w:jc w:val="center"/>
              <w:rPr>
                <w:rFonts w:eastAsia="宋体" w:cs="Times New Roman"/>
                <w:szCs w:val="21"/>
              </w:rPr>
            </w:pPr>
            <w:r>
              <w:rPr>
                <w:rFonts w:hint="eastAsia" w:eastAsia="宋体" w:cs="Times New Roman"/>
                <w:szCs w:val="21"/>
              </w:rPr>
              <w:t>（个）</w:t>
            </w:r>
          </w:p>
        </w:tc>
        <w:tc>
          <w:tcPr>
            <w:tcW w:w="2841" w:type="dxa"/>
            <w:vAlign w:val="center"/>
          </w:tcPr>
          <w:p>
            <w:pPr>
              <w:pStyle w:val="26"/>
              <w:spacing w:before="93" w:beforeLines="30" w:after="93" w:afterLines="30" w:line="240" w:lineRule="auto"/>
              <w:ind w:left="0" w:leftChars="0"/>
              <w:jc w:val="center"/>
              <w:rPr>
                <w:rFonts w:eastAsia="宋体" w:cs="Times New Roman"/>
                <w:szCs w:val="21"/>
              </w:rPr>
            </w:pPr>
            <w:r>
              <w:rPr>
                <w:rFonts w:hint="eastAsia" w:eastAsia="宋体" w:cs="Times New Roman"/>
                <w:szCs w:val="21"/>
              </w:rPr>
              <w:t>装配式建筑面积</w:t>
            </w:r>
          </w:p>
          <w:p>
            <w:pPr>
              <w:pStyle w:val="26"/>
              <w:spacing w:before="93" w:beforeLines="30" w:after="93" w:afterLines="30" w:line="240" w:lineRule="auto"/>
              <w:ind w:left="0" w:leftChars="0"/>
              <w:jc w:val="center"/>
              <w:rPr>
                <w:rFonts w:eastAsia="宋体" w:cs="Times New Roman"/>
                <w:szCs w:val="21"/>
              </w:rPr>
            </w:pPr>
            <w:r>
              <w:rPr>
                <w:rFonts w:hint="eastAsia" w:eastAsia="宋体" w:cs="Times New Roman"/>
                <w:szCs w:val="21"/>
              </w:rPr>
              <w:t>（万平方米）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2018</w:t>
            </w:r>
            <w:r>
              <w:rPr>
                <w:rFonts w:hint="eastAsia" w:eastAsia="宋体" w:cs="Times New Roman"/>
                <w:szCs w:val="21"/>
              </w:rPr>
              <w:t>年</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12</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2019</w:t>
            </w:r>
            <w:r>
              <w:rPr>
                <w:rFonts w:hint="eastAsia" w:eastAsia="宋体" w:cs="Times New Roman"/>
                <w:szCs w:val="21"/>
              </w:rPr>
              <w:t>年</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11</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21.19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2020</w:t>
            </w:r>
            <w:r>
              <w:rPr>
                <w:rFonts w:hint="eastAsia" w:eastAsia="宋体" w:cs="Times New Roman"/>
                <w:szCs w:val="21"/>
              </w:rPr>
              <w:t>年</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32</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36.31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2021</w:t>
            </w:r>
            <w:r>
              <w:rPr>
                <w:rFonts w:hint="eastAsia" w:eastAsia="宋体" w:cs="Times New Roman"/>
                <w:szCs w:val="21"/>
              </w:rPr>
              <w:t>年</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66</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78.71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6"/>
              <w:spacing w:before="93" w:beforeLines="30" w:after="93" w:afterLines="30" w:line="312" w:lineRule="auto"/>
              <w:ind w:left="0" w:leftChars="0"/>
              <w:jc w:val="center"/>
              <w:rPr>
                <w:rFonts w:eastAsia="宋体" w:cs="Times New Roman"/>
                <w:szCs w:val="21"/>
              </w:rPr>
            </w:pPr>
            <w:r>
              <w:rPr>
                <w:rFonts w:hint="eastAsia" w:eastAsia="宋体" w:cs="Times New Roman"/>
                <w:szCs w:val="21"/>
              </w:rPr>
              <w:t>合计</w:t>
            </w:r>
          </w:p>
        </w:tc>
        <w:tc>
          <w:tcPr>
            <w:tcW w:w="2841" w:type="dxa"/>
          </w:tcPr>
          <w:p>
            <w:pPr>
              <w:pStyle w:val="26"/>
              <w:spacing w:before="93" w:beforeLines="30" w:after="93" w:afterLines="30" w:line="312" w:lineRule="auto"/>
              <w:ind w:left="0" w:leftChars="0"/>
              <w:jc w:val="center"/>
              <w:rPr>
                <w:rFonts w:eastAsia="宋体" w:cs="Times New Roman"/>
                <w:szCs w:val="21"/>
              </w:rPr>
            </w:pPr>
            <w:r>
              <w:t>121</w:t>
            </w:r>
          </w:p>
        </w:tc>
        <w:tc>
          <w:tcPr>
            <w:tcW w:w="2841" w:type="dxa"/>
          </w:tcPr>
          <w:p>
            <w:pPr>
              <w:pStyle w:val="26"/>
              <w:spacing w:before="93" w:beforeLines="30" w:after="93" w:afterLines="30" w:line="312" w:lineRule="auto"/>
              <w:ind w:left="0" w:leftChars="0"/>
              <w:jc w:val="center"/>
              <w:rPr>
                <w:rFonts w:eastAsia="宋体" w:cs="Times New Roman"/>
                <w:szCs w:val="21"/>
              </w:rPr>
            </w:pPr>
            <w:r>
              <w:t>150.51</w:t>
            </w:r>
          </w:p>
        </w:tc>
      </w:tr>
    </w:tbl>
    <w:p>
      <w:pPr>
        <w:pStyle w:val="26"/>
        <w:spacing w:before="93" w:beforeLines="30" w:after="93" w:afterLines="30" w:line="312" w:lineRule="auto"/>
        <w:ind w:left="0" w:leftChars="0"/>
        <w:rPr>
          <w:rFonts w:cs="Times New Roman"/>
          <w:b/>
          <w:bCs/>
          <w:sz w:val="24"/>
        </w:rPr>
      </w:pP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按照《关于预拌混凝土及预拌砂浆生产企业贯彻落实&lt;广东省人民政府办公厅关于印发广东省建设工程施工扬尘污染防治管理办法（试行）的通知&gt;的通知》（韶市建字〔2018〕101号）要求，督促全市各预拌商品混凝土生产企业加大改造力度，按照《预拌混凝土绿色生产及管理技术规程》（JGJ／T328-2014）和《绿色生产评价通用要求》完成绿色搅拌站升级改造工作，并通过专项验收达标。“十三五”末期，全市有26家搅拌站进行绿色生产升级改造，共投入1.36亿元，经广东省预拌混凝土行业协会或广东省建筑科学研究院实地验收，这26家全部通过“绿色生产星级达标”评价，其中三星级11家，二星级3家，一星级12家，绿色生产达标率位于全省前列。</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2.2.3 建材产业发展现状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根据前期调研结果获得的建筑材料企业相关资料和韶关市住建局、统计局等部门提供的数据显示，韶关市有约136家建材企业，其中武江数量为最多25家，其次是乐昌22家，曲江为17家，翁源为15家，乳源、浈江和南雄均为12家，新丰、仁化依次为10、6家，始兴最少为5家。韶关市各县（市、区）建材厂家数量如图2.2-1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804410" cy="2887980"/>
            <wp:effectExtent l="0" t="0" r="0"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820291" cy="2897516"/>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图2.2-1 韶关市各区县市建材厂家数量柱状图</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产品类型上，如图2.2-2与表2.2-3所示，预拌混凝土、砂浆企业最多，全市共31家，其次是砖、砌块等生产企业，有14家，板材企业和水泥企业分别为13家。</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074920" cy="288036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2">
                      <a:extLst>
                        <a:ext uri="{28A0092B-C50C-407E-A947-70E740481C1C}">
                          <a14:useLocalDpi xmlns:a14="http://schemas.microsoft.com/office/drawing/2010/main" val="0"/>
                        </a:ext>
                      </a:extLst>
                    </a:blip>
                    <a:srcRect t="3595" b="2120"/>
                    <a:stretch>
                      <a:fillRect/>
                    </a:stretch>
                  </pic:blipFill>
                  <pic:spPr>
                    <a:xfrm>
                      <a:off x="0" y="0"/>
                      <a:ext cx="5079541" cy="2882869"/>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图2.2-2 韶关市各类建材企业数量饼图</w:t>
      </w:r>
    </w:p>
    <w:p>
      <w:pPr>
        <w:pStyle w:val="2"/>
        <w:rPr>
          <w:rFonts w:hint="default" w:ascii="Times New Roman" w:hAnsi="Times New Roman" w:cs="Times New Roman"/>
        </w:rPr>
        <w:sectPr>
          <w:pgSz w:w="11906" w:h="16838"/>
          <w:pgMar w:top="1440" w:right="1800" w:bottom="1440" w:left="1800" w:header="851" w:footer="992" w:gutter="0"/>
          <w:cols w:space="425" w:num="1"/>
          <w:docGrid w:type="lines" w:linePitch="312" w:charSpace="0"/>
        </w:sectPr>
      </w:pPr>
    </w:p>
    <w:p>
      <w:pPr>
        <w:pStyle w:val="26"/>
        <w:spacing w:before="156" w:beforeLines="50" w:after="156" w:afterLines="50" w:line="240" w:lineRule="auto"/>
        <w:ind w:left="0" w:leftChars="0"/>
        <w:jc w:val="center"/>
        <w:rPr>
          <w:rFonts w:cs="Times New Roman"/>
          <w:szCs w:val="21"/>
        </w:rPr>
      </w:pPr>
      <w:r>
        <w:rPr>
          <w:rFonts w:cs="Times New Roman"/>
          <w:szCs w:val="21"/>
        </w:rPr>
        <w:t>表2.2-3 韶关各县（市、区）建材企业数量分布</w:t>
      </w:r>
    </w:p>
    <w:tbl>
      <w:tblPr>
        <w:tblStyle w:val="18"/>
        <w:tblW w:w="14174" w:type="dxa"/>
        <w:tblInd w:w="0" w:type="dxa"/>
        <w:tblLayout w:type="fixed"/>
        <w:tblCellMar>
          <w:top w:w="0" w:type="dxa"/>
          <w:left w:w="108" w:type="dxa"/>
          <w:bottom w:w="0" w:type="dxa"/>
          <w:right w:w="108" w:type="dxa"/>
        </w:tblCellMar>
      </w:tblPr>
      <w:tblGrid>
        <w:gridCol w:w="1013"/>
        <w:gridCol w:w="1013"/>
        <w:gridCol w:w="1013"/>
        <w:gridCol w:w="1013"/>
        <w:gridCol w:w="1013"/>
        <w:gridCol w:w="1013"/>
        <w:gridCol w:w="1012"/>
        <w:gridCol w:w="1012"/>
        <w:gridCol w:w="1012"/>
        <w:gridCol w:w="1012"/>
        <w:gridCol w:w="1012"/>
        <w:gridCol w:w="1012"/>
        <w:gridCol w:w="1012"/>
        <w:gridCol w:w="1012"/>
      </w:tblGrid>
      <w:tr>
        <w:tblPrEx>
          <w:tblCellMar>
            <w:top w:w="0" w:type="dxa"/>
            <w:left w:w="108" w:type="dxa"/>
            <w:bottom w:w="0" w:type="dxa"/>
            <w:right w:w="108" w:type="dxa"/>
          </w:tblCellMar>
        </w:tblPrEx>
        <w:trPr>
          <w:trHeight w:val="936" w:hRule="atLeast"/>
        </w:trPr>
        <w:tc>
          <w:tcPr>
            <w:tcW w:w="101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种类</w:t>
            </w:r>
          </w:p>
        </w:tc>
        <w:tc>
          <w:tcPr>
            <w:tcW w:w="101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预拌混凝土、砂浆</w:t>
            </w:r>
          </w:p>
        </w:tc>
        <w:tc>
          <w:tcPr>
            <w:tcW w:w="101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涂料、胶等</w:t>
            </w:r>
          </w:p>
        </w:tc>
        <w:tc>
          <w:tcPr>
            <w:tcW w:w="101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板材</w:t>
            </w:r>
          </w:p>
        </w:tc>
        <w:tc>
          <w:tcPr>
            <w:tcW w:w="101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砖、砌块</w:t>
            </w:r>
          </w:p>
        </w:tc>
        <w:tc>
          <w:tcPr>
            <w:tcW w:w="101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水泥</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玻璃及窗</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钢结构</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施工材料设备</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管材</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石材</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机电设备</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综合建材</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合计</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乐昌</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22</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武江</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25</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乳源</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12</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翁源</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15</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浈江</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12</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南雄</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12</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始兴</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5</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新丰</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曲江</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17</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仁化</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6</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合计</w:t>
            </w:r>
          </w:p>
        </w:tc>
        <w:tc>
          <w:tcPr>
            <w:tcW w:w="1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31</w:t>
            </w:r>
          </w:p>
        </w:tc>
        <w:tc>
          <w:tcPr>
            <w:tcW w:w="1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6</w:t>
            </w:r>
          </w:p>
        </w:tc>
        <w:tc>
          <w:tcPr>
            <w:tcW w:w="1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13</w:t>
            </w:r>
          </w:p>
        </w:tc>
        <w:tc>
          <w:tcPr>
            <w:tcW w:w="1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14</w:t>
            </w:r>
          </w:p>
        </w:tc>
        <w:tc>
          <w:tcPr>
            <w:tcW w:w="1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13</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7</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6</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7</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3</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4</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30</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136</w:t>
            </w:r>
          </w:p>
        </w:tc>
      </w:tr>
    </w:tbl>
    <w:p>
      <w:pPr>
        <w:pStyle w:val="2"/>
        <w:rPr>
          <w:rFonts w:hint="default" w:ascii="Times New Roman" w:hAnsi="Times New Roman" w:cs="Times New Roman"/>
        </w:rPr>
        <w:sectPr>
          <w:pgSz w:w="16838" w:h="11906" w:orient="landscape"/>
          <w:pgMar w:top="1800" w:right="1440" w:bottom="1800" w:left="1440" w:header="851" w:footer="992" w:gutter="0"/>
          <w:cols w:space="425" w:num="1"/>
          <w:docGrid w:type="lines" w:linePitch="312" w:charSpace="0"/>
        </w:sectPr>
      </w:pP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 xml:space="preserve"> 表2.2-4~表2.2-5为韶关市统计局提供的2017~2021年建材产业总产值与增加值。近几年，大部分县（市、区）的总产值和增加值均呈现持续上升趋势。从2021年的总产值数值来看，乐昌市和新丰县两地量较大；从2021年的增加值数值看，翁源县和新丰县的值较大。</w:t>
      </w:r>
    </w:p>
    <w:p>
      <w:pPr>
        <w:pStyle w:val="26"/>
        <w:spacing w:before="156" w:beforeLines="50" w:after="156" w:afterLines="50" w:line="240" w:lineRule="auto"/>
        <w:ind w:left="0" w:leftChars="0"/>
        <w:jc w:val="center"/>
        <w:rPr>
          <w:rFonts w:cs="Times New Roman"/>
          <w:szCs w:val="21"/>
        </w:rPr>
      </w:pPr>
      <w:r>
        <w:rPr>
          <w:rFonts w:cs="Times New Roman"/>
          <w:szCs w:val="21"/>
        </w:rPr>
        <w:t>表2.2-4 韶关各县（市、区）建材产业总产值</w:t>
      </w:r>
    </w:p>
    <w:tbl>
      <w:tblPr>
        <w:tblStyle w:val="18"/>
        <w:tblW w:w="8522" w:type="dxa"/>
        <w:tblInd w:w="0" w:type="dxa"/>
        <w:tblLayout w:type="fixed"/>
        <w:tblCellMar>
          <w:top w:w="0" w:type="dxa"/>
          <w:left w:w="108" w:type="dxa"/>
          <w:bottom w:w="0" w:type="dxa"/>
          <w:right w:w="108" w:type="dxa"/>
        </w:tblCellMar>
      </w:tblPr>
      <w:tblGrid>
        <w:gridCol w:w="1277"/>
        <w:gridCol w:w="1437"/>
        <w:gridCol w:w="1341"/>
        <w:gridCol w:w="1437"/>
        <w:gridCol w:w="1597"/>
        <w:gridCol w:w="1433"/>
      </w:tblGrid>
      <w:tr>
        <w:tblPrEx>
          <w:tblCellMar>
            <w:top w:w="0" w:type="dxa"/>
            <w:left w:w="108" w:type="dxa"/>
            <w:bottom w:w="0" w:type="dxa"/>
            <w:right w:w="108" w:type="dxa"/>
          </w:tblCellMar>
        </w:tblPrEx>
        <w:trPr>
          <w:trHeight w:val="288" w:hRule="atLeast"/>
        </w:trPr>
        <w:tc>
          <w:tcPr>
            <w:tcW w:w="1277" w:type="dxa"/>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地区</w:t>
            </w:r>
          </w:p>
        </w:tc>
        <w:tc>
          <w:tcPr>
            <w:tcW w:w="7245" w:type="dxa"/>
            <w:gridSpan w:val="5"/>
            <w:tcBorders>
              <w:top w:val="single" w:color="auto" w:sz="8" w:space="0"/>
              <w:left w:val="nil"/>
              <w:bottom w:val="single" w:color="auto" w:sz="8" w:space="0"/>
              <w:right w:val="single" w:color="000000" w:sz="8" w:space="0"/>
            </w:tcBorders>
            <w:shd w:val="clear" w:color="auto" w:fill="auto"/>
            <w:noWrap/>
            <w:vAlign w:val="center"/>
          </w:tcPr>
          <w:p>
            <w:pPr>
              <w:widowControl/>
              <w:jc w:val="center"/>
              <w:rPr>
                <w:rFonts w:ascii="宋体" w:hAnsi="宋体" w:eastAsia="宋体" w:cs="Times New Roman"/>
                <w:kern w:val="0"/>
                <w:sz w:val="22"/>
                <w:szCs w:val="22"/>
              </w:rPr>
            </w:pPr>
            <w:r>
              <w:rPr>
                <w:rFonts w:ascii="宋体" w:hAnsi="宋体" w:eastAsia="宋体" w:cs="Times New Roman"/>
                <w:kern w:val="0"/>
                <w:sz w:val="22"/>
                <w:szCs w:val="22"/>
              </w:rPr>
              <w:t>总产值（万元）</w:t>
            </w:r>
          </w:p>
        </w:tc>
      </w:tr>
      <w:tr>
        <w:tblPrEx>
          <w:tblCellMar>
            <w:top w:w="0" w:type="dxa"/>
            <w:left w:w="108" w:type="dxa"/>
            <w:bottom w:w="0" w:type="dxa"/>
            <w:right w:w="108" w:type="dxa"/>
          </w:tblCellMar>
        </w:tblPrEx>
        <w:trPr>
          <w:trHeight w:val="300" w:hRule="atLeast"/>
        </w:trPr>
        <w:tc>
          <w:tcPr>
            <w:tcW w:w="1277" w:type="dxa"/>
            <w:vMerge w:val="continue"/>
            <w:tcBorders>
              <w:top w:val="single" w:color="auto" w:sz="8" w:space="0"/>
              <w:left w:val="single" w:color="auto" w:sz="8" w:space="0"/>
              <w:bottom w:val="single" w:color="000000" w:sz="8" w:space="0"/>
              <w:right w:val="single" w:color="auto" w:sz="8" w:space="0"/>
            </w:tcBorders>
            <w:vAlign w:val="center"/>
          </w:tcPr>
          <w:p>
            <w:pPr>
              <w:widowControl/>
              <w:jc w:val="left"/>
              <w:rPr>
                <w:rFonts w:ascii="Times New Roman" w:hAnsi="Times New Roman" w:eastAsia="宋体" w:cs="Times New Roman"/>
                <w:kern w:val="0"/>
                <w:sz w:val="22"/>
                <w:szCs w:val="22"/>
              </w:rPr>
            </w:pPr>
          </w:p>
        </w:tc>
        <w:tc>
          <w:tcPr>
            <w:tcW w:w="1437"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2017</w:t>
            </w:r>
            <w:r>
              <w:rPr>
                <w:rFonts w:ascii="Times New Roman" w:hAnsi="Times New Roman" w:eastAsia="宋体" w:cs="Times New Roman"/>
                <w:kern w:val="0"/>
                <w:sz w:val="22"/>
                <w:szCs w:val="22"/>
              </w:rPr>
              <w:t>年</w:t>
            </w:r>
          </w:p>
        </w:tc>
        <w:tc>
          <w:tcPr>
            <w:tcW w:w="1341"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2018</w:t>
            </w:r>
            <w:r>
              <w:rPr>
                <w:rFonts w:ascii="Times New Roman" w:hAnsi="Times New Roman" w:eastAsia="宋体" w:cs="Times New Roman"/>
                <w:kern w:val="0"/>
                <w:sz w:val="22"/>
                <w:szCs w:val="22"/>
              </w:rPr>
              <w:t>年</w:t>
            </w:r>
          </w:p>
        </w:tc>
        <w:tc>
          <w:tcPr>
            <w:tcW w:w="1437"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2019</w:t>
            </w:r>
            <w:r>
              <w:rPr>
                <w:rFonts w:ascii="Times New Roman" w:hAnsi="Times New Roman" w:eastAsia="宋体" w:cs="Times New Roman"/>
                <w:kern w:val="0"/>
                <w:sz w:val="22"/>
                <w:szCs w:val="22"/>
              </w:rPr>
              <w:t>年</w:t>
            </w:r>
          </w:p>
        </w:tc>
        <w:tc>
          <w:tcPr>
            <w:tcW w:w="1597"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2020</w:t>
            </w:r>
            <w:r>
              <w:rPr>
                <w:rFonts w:ascii="Times New Roman" w:hAnsi="Times New Roman" w:eastAsia="宋体" w:cs="Times New Roman"/>
                <w:kern w:val="0"/>
                <w:sz w:val="22"/>
                <w:szCs w:val="22"/>
              </w:rPr>
              <w:t>年</w:t>
            </w:r>
          </w:p>
        </w:tc>
        <w:tc>
          <w:tcPr>
            <w:tcW w:w="1433"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2021</w:t>
            </w:r>
            <w:r>
              <w:rPr>
                <w:rFonts w:ascii="Times New Roman" w:hAnsi="Times New Roman" w:eastAsia="宋体" w:cs="Times New Roman"/>
                <w:kern w:val="0"/>
                <w:sz w:val="22"/>
                <w:szCs w:val="22"/>
              </w:rPr>
              <w:t>年</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武江区</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65547</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84702</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124219</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2309215</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151216</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浈江区</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33424</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47431</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34471</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1126168</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54680</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曲江区</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121336</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122700</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78339</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4576035</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105103</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始兴县</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65697</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54002</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52176</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537924</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59141</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仁化县</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83715</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75759</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76253</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647198</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87430</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翁源县</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108257</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136985</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159160</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629428</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174022</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乳源县</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158913</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42562</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64798</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1328159</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66832</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新丰县</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275277</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191554</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221748</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465372</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236601</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乐昌市</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84882</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103472</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105584</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418155</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186541</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南雄市</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78428</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80354</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83503</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554099</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102747</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韶关市</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1075476</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939521</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1000251</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12591753</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1224313</w:t>
            </w:r>
          </w:p>
        </w:tc>
      </w:tr>
    </w:tbl>
    <w:p>
      <w:pPr>
        <w:pStyle w:val="26"/>
        <w:spacing w:before="156" w:beforeLines="50" w:after="156" w:afterLines="50" w:line="240" w:lineRule="auto"/>
        <w:ind w:left="0" w:leftChars="0"/>
        <w:jc w:val="center"/>
        <w:rPr>
          <w:rFonts w:cs="Times New Roman"/>
          <w:szCs w:val="21"/>
        </w:rPr>
      </w:pPr>
      <w:r>
        <w:rPr>
          <w:rFonts w:cs="Times New Roman"/>
          <w:szCs w:val="21"/>
        </w:rPr>
        <w:t>表2.2-5 韶关各县（市、区）建材产业增加值</w:t>
      </w:r>
    </w:p>
    <w:tbl>
      <w:tblPr>
        <w:tblStyle w:val="18"/>
        <w:tblW w:w="8522" w:type="dxa"/>
        <w:tblInd w:w="0" w:type="dxa"/>
        <w:tblLayout w:type="fixed"/>
        <w:tblCellMar>
          <w:top w:w="0" w:type="dxa"/>
          <w:left w:w="108" w:type="dxa"/>
          <w:bottom w:w="0" w:type="dxa"/>
          <w:right w:w="108" w:type="dxa"/>
        </w:tblCellMar>
      </w:tblPr>
      <w:tblGrid>
        <w:gridCol w:w="1346"/>
        <w:gridCol w:w="1415"/>
        <w:gridCol w:w="1415"/>
        <w:gridCol w:w="1415"/>
        <w:gridCol w:w="1515"/>
        <w:gridCol w:w="1416"/>
      </w:tblGrid>
      <w:tr>
        <w:tblPrEx>
          <w:tblCellMar>
            <w:top w:w="0" w:type="dxa"/>
            <w:left w:w="108" w:type="dxa"/>
            <w:bottom w:w="0" w:type="dxa"/>
            <w:right w:w="108" w:type="dxa"/>
          </w:tblCellMar>
        </w:tblPrEx>
        <w:trPr>
          <w:trHeight w:val="288" w:hRule="atLeast"/>
        </w:trPr>
        <w:tc>
          <w:tcPr>
            <w:tcW w:w="1346" w:type="dxa"/>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地区</w:t>
            </w:r>
          </w:p>
        </w:tc>
        <w:tc>
          <w:tcPr>
            <w:tcW w:w="7176" w:type="dxa"/>
            <w:gridSpan w:val="5"/>
            <w:tcBorders>
              <w:top w:val="single" w:color="auto" w:sz="8" w:space="0"/>
              <w:left w:val="nil"/>
              <w:bottom w:val="single" w:color="auto" w:sz="8" w:space="0"/>
              <w:right w:val="single" w:color="000000" w:sz="8" w:space="0"/>
            </w:tcBorders>
            <w:shd w:val="clear" w:color="auto" w:fill="auto"/>
            <w:noWrap/>
            <w:vAlign w:val="center"/>
          </w:tcPr>
          <w:p>
            <w:pPr>
              <w:widowControl/>
              <w:jc w:val="center"/>
              <w:rPr>
                <w:rFonts w:ascii="宋体" w:hAnsi="宋体" w:eastAsia="宋体" w:cs="Times New Roman"/>
                <w:kern w:val="0"/>
                <w:sz w:val="22"/>
                <w:szCs w:val="22"/>
              </w:rPr>
            </w:pPr>
            <w:r>
              <w:rPr>
                <w:rFonts w:ascii="宋体" w:hAnsi="宋体" w:eastAsia="宋体" w:cs="Times New Roman"/>
                <w:kern w:val="0"/>
                <w:sz w:val="22"/>
                <w:szCs w:val="22"/>
              </w:rPr>
              <w:t>增加值（万元）</w:t>
            </w:r>
          </w:p>
        </w:tc>
      </w:tr>
      <w:tr>
        <w:tblPrEx>
          <w:tblCellMar>
            <w:top w:w="0" w:type="dxa"/>
            <w:left w:w="108" w:type="dxa"/>
            <w:bottom w:w="0" w:type="dxa"/>
            <w:right w:w="108" w:type="dxa"/>
          </w:tblCellMar>
        </w:tblPrEx>
        <w:trPr>
          <w:trHeight w:val="300" w:hRule="atLeast"/>
        </w:trPr>
        <w:tc>
          <w:tcPr>
            <w:tcW w:w="1346" w:type="dxa"/>
            <w:vMerge w:val="continue"/>
            <w:tcBorders>
              <w:top w:val="single" w:color="auto" w:sz="8" w:space="0"/>
              <w:left w:val="single" w:color="auto" w:sz="8" w:space="0"/>
              <w:bottom w:val="single" w:color="000000" w:sz="8" w:space="0"/>
              <w:right w:val="single" w:color="auto" w:sz="8" w:space="0"/>
            </w:tcBorders>
            <w:vAlign w:val="center"/>
          </w:tcPr>
          <w:p>
            <w:pPr>
              <w:widowControl/>
              <w:jc w:val="left"/>
              <w:rPr>
                <w:rFonts w:ascii="Times New Roman" w:hAnsi="Times New Roman" w:eastAsia="宋体" w:cs="Times New Roman"/>
                <w:kern w:val="0"/>
                <w:sz w:val="22"/>
                <w:szCs w:val="22"/>
              </w:rPr>
            </w:pPr>
          </w:p>
        </w:tc>
        <w:tc>
          <w:tcPr>
            <w:tcW w:w="1415"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2017</w:t>
            </w:r>
            <w:r>
              <w:rPr>
                <w:rFonts w:ascii="Times New Roman" w:hAnsi="Times New Roman" w:eastAsia="宋体" w:cs="Times New Roman"/>
                <w:kern w:val="0"/>
                <w:sz w:val="22"/>
                <w:szCs w:val="22"/>
              </w:rPr>
              <w:t>年</w:t>
            </w:r>
          </w:p>
        </w:tc>
        <w:tc>
          <w:tcPr>
            <w:tcW w:w="1415"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2018</w:t>
            </w:r>
            <w:r>
              <w:rPr>
                <w:rFonts w:ascii="Times New Roman" w:hAnsi="Times New Roman" w:eastAsia="宋体" w:cs="Times New Roman"/>
                <w:kern w:val="0"/>
                <w:sz w:val="22"/>
                <w:szCs w:val="22"/>
              </w:rPr>
              <w:t>年</w:t>
            </w:r>
          </w:p>
        </w:tc>
        <w:tc>
          <w:tcPr>
            <w:tcW w:w="1415"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2019</w:t>
            </w:r>
            <w:r>
              <w:rPr>
                <w:rFonts w:ascii="Times New Roman" w:hAnsi="Times New Roman" w:eastAsia="宋体" w:cs="Times New Roman"/>
                <w:kern w:val="0"/>
                <w:sz w:val="22"/>
                <w:szCs w:val="22"/>
              </w:rPr>
              <w:t>年</w:t>
            </w:r>
          </w:p>
        </w:tc>
        <w:tc>
          <w:tcPr>
            <w:tcW w:w="1515"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2020</w:t>
            </w:r>
            <w:r>
              <w:rPr>
                <w:rFonts w:ascii="Times New Roman" w:hAnsi="Times New Roman" w:eastAsia="宋体" w:cs="Times New Roman"/>
                <w:kern w:val="0"/>
                <w:sz w:val="22"/>
                <w:szCs w:val="22"/>
              </w:rPr>
              <w:t>年</w:t>
            </w:r>
          </w:p>
        </w:tc>
        <w:tc>
          <w:tcPr>
            <w:tcW w:w="1416"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2021</w:t>
            </w:r>
            <w:r>
              <w:rPr>
                <w:rFonts w:ascii="Times New Roman" w:hAnsi="Times New Roman" w:eastAsia="宋体" w:cs="Times New Roman"/>
                <w:kern w:val="0"/>
                <w:sz w:val="22"/>
                <w:szCs w:val="22"/>
              </w:rPr>
              <w:t>年</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武江区</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17198</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22818</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37310</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944434</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39965</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浈江区</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7191</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10002</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8310</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245173</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12808</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曲江区</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28072</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28179</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20362</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870454</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18914</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始兴县</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15118</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16170</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15971</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159210</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11428</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仁化县</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17154</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19684</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20505</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207426</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19581</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翁源县</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22841</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42275</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43789</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134081</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54297</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乳源县</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52458</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13053</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20398</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301995</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19510</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新丰县</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52897</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43873</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74027</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139875</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86720</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乐昌市</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17742</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29812</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36383</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113234</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47319</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南雄市</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22021</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23316</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25477</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129983</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45268</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韶关市</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252692</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249182</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302532</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3245865</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355810</w:t>
            </w:r>
          </w:p>
        </w:tc>
      </w:tr>
    </w:tbl>
    <w:p>
      <w:pPr>
        <w:pStyle w:val="2"/>
        <w:spacing w:line="360" w:lineRule="auto"/>
        <w:jc w:val="center"/>
        <w:rPr>
          <w:rFonts w:hint="default" w:ascii="Times New Roman" w:hAnsi="Times New Roman" w:cs="Times New Roman"/>
          <w:b/>
          <w:bCs/>
          <w:sz w:val="24"/>
        </w:rPr>
      </w:pPr>
    </w:p>
    <w:p>
      <w:pPr>
        <w:widowControl/>
        <w:jc w:val="left"/>
        <w:rPr>
          <w:rFonts w:ascii="Times New Roman" w:hAnsi="Times New Roman" w:cs="Times New Roman"/>
          <w:bCs/>
          <w:sz w:val="24"/>
        </w:rPr>
      </w:pPr>
      <w:r>
        <w:rPr>
          <w:rFonts w:ascii="Times New Roman" w:hAnsi="Times New Roman" w:cs="Times New Roman"/>
          <w:b/>
          <w:bCs/>
          <w:sz w:val="24"/>
        </w:rPr>
        <w:br w:type="page"/>
      </w:r>
    </w:p>
    <w:p>
      <w:pPr>
        <w:pStyle w:val="5"/>
        <w:spacing w:before="0" w:after="156" w:afterLines="50" w:line="360" w:lineRule="auto"/>
        <w:rPr>
          <w:rFonts w:ascii="Times New Roman" w:hAnsi="Times New Roman" w:cs="Times New Roman"/>
          <w:sz w:val="30"/>
          <w:szCs w:val="30"/>
        </w:rPr>
      </w:pPr>
      <w:r>
        <w:rPr>
          <w:rFonts w:ascii="Times New Roman" w:hAnsi="Times New Roman" w:cs="Times New Roman"/>
          <w:sz w:val="28"/>
          <w:szCs w:val="28"/>
        </w:rPr>
        <w:t xml:space="preserve">2.2.4 </w:t>
      </w:r>
      <w:r>
        <w:rPr>
          <w:rFonts w:hint="eastAsia" w:ascii="Times New Roman" w:hAnsi="Times New Roman" w:cs="Times New Roman"/>
          <w:sz w:val="28"/>
          <w:szCs w:val="28"/>
        </w:rPr>
        <w:t>重点产品与产业园发展情况</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1、预拌混凝土</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现有31家预拌混凝土企业，绝大部分产品为韶关本地消纳。但在调研过程中发现，由于新冠疫情疫情、工程建设受影响等原因，目前市场上对预拌混凝土的需求大幅降低，企业普遍存在供过于求的情况。在这种情况下，应对全市的预拌混凝土布点情况、技改方向、营商环境等进行分析，鼓励有条件的预拌混凝土企业往预制混凝土构件企业转型升级。</w:t>
      </w:r>
    </w:p>
    <w:p>
      <w:pPr>
        <w:pStyle w:val="26"/>
        <w:spacing w:before="156" w:beforeLines="50" w:after="156" w:afterLines="50" w:line="240" w:lineRule="auto"/>
        <w:ind w:left="0" w:leftChars="0"/>
        <w:jc w:val="center"/>
        <w:rPr>
          <w:rFonts w:cs="Times New Roman"/>
          <w:szCs w:val="21"/>
        </w:rPr>
      </w:pPr>
      <w:r>
        <w:rPr>
          <w:rFonts w:hint="eastAsia" w:cs="Times New Roman"/>
          <w:szCs w:val="21"/>
        </w:rPr>
        <w:drawing>
          <wp:inline distT="0" distB="0" distL="0" distR="0">
            <wp:extent cx="5274310" cy="3956050"/>
            <wp:effectExtent l="0" t="0" r="2540" b="635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图2.2-3 韶关市永威混凝土生产现场</w:t>
      </w:r>
    </w:p>
    <w:p>
      <w:pPr>
        <w:pStyle w:val="26"/>
        <w:spacing w:before="156" w:beforeLines="50" w:after="156" w:afterLines="50" w:line="240" w:lineRule="auto"/>
        <w:ind w:left="0" w:leftChars="0"/>
        <w:jc w:val="center"/>
        <w:rPr>
          <w:rFonts w:cs="Times New Roman"/>
          <w:szCs w:val="21"/>
        </w:rPr>
      </w:pP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607560" cy="276987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4" cstate="print">
                      <a:extLst>
                        <a:ext uri="{28A0092B-C50C-407E-A947-70E740481C1C}">
                          <a14:useLocalDpi xmlns:a14="http://schemas.microsoft.com/office/drawing/2010/main" val="0"/>
                        </a:ext>
                      </a:extLst>
                    </a:blip>
                    <a:srcRect t="19846"/>
                    <a:stretch>
                      <a:fillRect/>
                    </a:stretch>
                  </pic:blipFill>
                  <pic:spPr>
                    <a:xfrm>
                      <a:off x="0" y="0"/>
                      <a:ext cx="4608000" cy="2770335"/>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 xml:space="preserve">图2.2-4 </w:t>
      </w:r>
      <w:r>
        <w:rPr>
          <w:rFonts w:hint="eastAsia" w:cs="Times New Roman"/>
          <w:szCs w:val="21"/>
        </w:rPr>
        <w:t>与</w:t>
      </w:r>
      <w:r>
        <w:rPr>
          <w:rFonts w:cs="Times New Roman"/>
          <w:szCs w:val="21"/>
        </w:rPr>
        <w:t>韶关市住房和城乡建设管理局开展调研座谈</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近年出台的《韶关市关于推动制造业高质量发展的实施意见》、《韶关市发展先进材料战略性支柱产业集群行动计划（2021-2025年）》、《韶关市制造业高质量发展“十四五”规划》等文件均对建材行业的发展提出了要求。在与市住建局、市工信局等相关部门的座谈过程中了解到，韶关市相关部门正鼓励建材企业建立技术中心并进行智能化、绿色化方向的技术改造，对满足条件的企业会给予资金奖励。</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607560" cy="266890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5">
                      <a:extLst>
                        <a:ext uri="{28A0092B-C50C-407E-A947-70E740481C1C}">
                          <a14:useLocalDpi xmlns:a14="http://schemas.microsoft.com/office/drawing/2010/main" val="0"/>
                        </a:ext>
                      </a:extLst>
                    </a:blip>
                    <a:srcRect t="22808"/>
                    <a:stretch>
                      <a:fillRect/>
                    </a:stretch>
                  </pic:blipFill>
                  <pic:spPr>
                    <a:xfrm>
                      <a:off x="0" y="0"/>
                      <a:ext cx="4608000" cy="2668982"/>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图2.2-5</w:t>
      </w:r>
      <w:r>
        <w:rPr>
          <w:rFonts w:hint="eastAsia" w:cs="Times New Roman"/>
          <w:szCs w:val="21"/>
        </w:rPr>
        <w:t>与</w:t>
      </w:r>
      <w:r>
        <w:rPr>
          <w:rFonts w:cs="Times New Roman"/>
          <w:szCs w:val="21"/>
        </w:rPr>
        <w:t>韶关市工业和信息化局</w:t>
      </w:r>
      <w:r>
        <w:rPr>
          <w:rFonts w:hint="eastAsia" w:cs="Times New Roman"/>
          <w:szCs w:val="21"/>
        </w:rPr>
        <w:t>开展</w:t>
      </w:r>
      <w:r>
        <w:rPr>
          <w:rFonts w:cs="Times New Roman"/>
          <w:szCs w:val="21"/>
        </w:rPr>
        <w:t>调研座谈</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2</w:t>
      </w:r>
      <w:r>
        <w:rPr>
          <w:rFonts w:ascii="Times New Roman" w:hAnsi="Times New Roman" w:cs="Times New Roman"/>
          <w:sz w:val="28"/>
          <w:szCs w:val="28"/>
        </w:rPr>
        <w:t>、光伏产业</w:t>
      </w:r>
    </w:p>
    <w:p>
      <w:pPr>
        <w:pStyle w:val="2"/>
        <w:snapToGrid w:val="0"/>
        <w:spacing w:line="360" w:lineRule="auto"/>
        <w:ind w:firstLine="560" w:firstLineChars="200"/>
        <w:rPr>
          <w:rFonts w:hint="default" w:ascii="Times New Roman" w:hAnsi="Times New Roman" w:cs="Times New Roman"/>
          <w:sz w:val="28"/>
          <w:szCs w:val="28"/>
        </w:rPr>
      </w:pPr>
      <w:bookmarkStart w:id="15" w:name="_Hlk111555195"/>
      <w:r>
        <w:rPr>
          <w:rFonts w:ascii="Times New Roman" w:hAnsi="Times New Roman" w:cs="Times New Roman"/>
          <w:sz w:val="28"/>
          <w:szCs w:val="28"/>
        </w:rPr>
        <w:t>韶关市目前武江区、始兴县、南雄市被国家能源局列为屋顶分布式光伏开发试点单位。目前韶关市正在全部县（市、区）推进光伏工作，所有的县（市、区）都会有相关的规划。在与市发展改革局座谈过程中了解到，目前韶关市已与中国三峡新能源集团和明阳智慧能源集团达成合作，并计划在十四五期间由两家企业各引进5家光伏相关企业落户韶关，并成立一个光伏产业园。截至2021年12月底，韶关市已建成各类光伏发电项目3597个（含分布式光伏），总装机容量89万千瓦。目前已经有部分工业园区在推进厂房屋顶铺设光伏板，在华南装备园的调研过程中发现，部分厂房屋顶有工人在进行光伏板的安装作业。2022年5月12日，坐落于华南装备园的勤望（韶关）金属科技有限公司2.46 MW分布式光伏发电项目主体工程已全部完工，接下来华南装备园将继续贯彻落实绿色发展理念，推动更多屋顶分布式光伏电站项目落地。</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3040" cy="2964180"/>
            <wp:effectExtent l="0" t="0" r="3810" b="762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16" cstate="print">
                      <a:extLst>
                        <a:ext uri="{28A0092B-C50C-407E-A947-70E740481C1C}">
                          <a14:useLocalDpi xmlns:a14="http://schemas.microsoft.com/office/drawing/2010/main" val="0"/>
                        </a:ext>
                      </a:extLst>
                    </a:blip>
                    <a:srcRect b="9954"/>
                    <a:stretch>
                      <a:fillRect/>
                    </a:stretch>
                  </pic:blipFill>
                  <pic:spPr>
                    <a:xfrm>
                      <a:off x="0" y="0"/>
                      <a:ext cx="5273040" cy="296418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图2.2-7 华南装备园屋顶光伏安装现场</w:t>
      </w:r>
    </w:p>
    <w:bookmarkEnd w:id="15"/>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4310" cy="395605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74310" cy="395605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 xml:space="preserve">图2.2-7 </w:t>
      </w:r>
      <w:r>
        <w:rPr>
          <w:rFonts w:hint="eastAsia" w:cs="Times New Roman"/>
          <w:szCs w:val="21"/>
        </w:rPr>
        <w:t>与</w:t>
      </w:r>
      <w:r>
        <w:rPr>
          <w:rFonts w:cs="Times New Roman"/>
          <w:szCs w:val="21"/>
        </w:rPr>
        <w:t>韶关市发展和改革局</w:t>
      </w:r>
      <w:r>
        <w:rPr>
          <w:rFonts w:hint="eastAsia" w:cs="Times New Roman"/>
          <w:szCs w:val="21"/>
        </w:rPr>
        <w:t>开展调研</w:t>
      </w:r>
      <w:r>
        <w:rPr>
          <w:rFonts w:cs="Times New Roman"/>
          <w:szCs w:val="21"/>
        </w:rPr>
        <w:t>座谈</w:t>
      </w:r>
    </w:p>
    <w:p>
      <w:pPr>
        <w:pStyle w:val="26"/>
        <w:spacing w:before="156" w:beforeLines="50" w:after="156" w:afterLines="50" w:line="240" w:lineRule="auto"/>
        <w:ind w:left="0" w:leftChars="0"/>
        <w:jc w:val="center"/>
        <w:rPr>
          <w:rFonts w:cs="Times New Roman"/>
          <w:szCs w:val="21"/>
        </w:rPr>
      </w:pP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3</w:t>
      </w:r>
      <w:r>
        <w:rPr>
          <w:rFonts w:ascii="Times New Roman" w:hAnsi="Times New Roman" w:cs="Times New Roman"/>
          <w:sz w:val="28"/>
          <w:szCs w:val="28"/>
        </w:rPr>
        <w:t>、华南装备园、新丰回龙工业园：钢结构装配式</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华南装备园位于韶关市曲江区，规划总面积43.5平方公里（其中宝武韶钢12.5平方公里）。重点培育发展基础材料加工、基础零部件（汽车零部件）、成套（台）装备制造及装备服务着力推动电子信息科技产业高质量发展区融合建设，打造特钢全产业链生态圈专业园区。园区总体定位为珠江西岸先进装备制造产业带韶关配套区核心区，力争到2025年，基本建成规模较大、配套完善、综合竞争较强的现代产业体系，初步建成有影响力的装备基础零部件综合示范区。</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新丰回龙工业园位于新丰县回龙镇西北部，规划面积约10000亩。园区以“稀土材料+建筑材料”作为发展重点，着力打造稀土和建材产业集聚地。园区以中色南方稀土分离厂为依托，以稀土高附加值为发展方向，突出稀土下游应用产业招商引资，把新丰稀土特色产业打造成为新丰乃至全省具有战略发展的朝阳产业集群。园区创新投资运营模式，吸引、发展铝型材、钢结构装配式部品部件等符合园区产业导向的产业，着力将园区建设成为生态化、集约化、标准化、数字化的现代产业园区。目前，园区主要引进有中色南方稀土（新丰）有限公司、广东鸿丰水泥有限公司、金丰达陶瓷有限公司、特伦特新型材料有限公司、玖钢世博装配式建筑、美瑛石英石等10多家企业项目。</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64785" cy="2964180"/>
            <wp:effectExtent l="0" t="0" r="0" b="762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270625" cy="2967166"/>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图2.2-8 华南装备园</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4310" cy="3427095"/>
            <wp:effectExtent l="0" t="0" r="254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274310" cy="3427095"/>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图2.2-9 新丰回龙工业园</w:t>
      </w:r>
    </w:p>
    <w:p>
      <w:pPr>
        <w:pStyle w:val="26"/>
        <w:spacing w:before="156" w:beforeLines="50" w:after="156" w:afterLines="50" w:line="240" w:lineRule="auto"/>
        <w:ind w:left="0" w:leftChars="0"/>
        <w:jc w:val="center"/>
        <w:rPr>
          <w:rFonts w:cs="Times New Roman"/>
          <w:szCs w:val="21"/>
        </w:rPr>
      </w:pP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拥有较为丰富的钢铁资源优势和雄厚的钢铁精深加工实力，有发展钢结构装配式部品部件的基础，目前在华南装备园、新丰回龙工业园等部分工业园区内也引进了钢结构装配式构件企业。在与华南装备园和新丰回龙工业园的相关企业负责人的交流中了解到，由于韶关本土企业韶钢出品的钢材品质较优，价格比较昂贵，并未像预期的成为钢结构装配式构件企业的原材料主要来源；企业生产的钢结构构件销售目的地均主要为珠三角，目前钢结构装配式企业在韶关市内销售不多，主要受限于韶关市采用装配式的施工项目较少，样板案例不足，不能很好的促进钢结构装配式企业在产量、技术方面提升。有部分企业目前除了生产装配式部品部件外，也在组建技术团队研发自动停车场、自动爬升平台等建筑机电设备。</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182870" cy="2811780"/>
            <wp:effectExtent l="0" t="0" r="0" b="762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20" cstate="print">
                      <a:extLst>
                        <a:ext uri="{28A0092B-C50C-407E-A947-70E740481C1C}">
                          <a14:useLocalDpi xmlns:a14="http://schemas.microsoft.com/office/drawing/2010/main" val="0"/>
                        </a:ext>
                      </a:extLst>
                    </a:blip>
                    <a:srcRect t="14204" b="13445"/>
                    <a:stretch>
                      <a:fillRect/>
                    </a:stretch>
                  </pic:blipFill>
                  <pic:spPr>
                    <a:xfrm>
                      <a:off x="0" y="0"/>
                      <a:ext cx="5183022" cy="281178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 xml:space="preserve">图2.2-10 </w:t>
      </w:r>
      <w:bookmarkStart w:id="16" w:name="_Hlk112400898"/>
      <w:r>
        <w:rPr>
          <w:rFonts w:cs="Times New Roman"/>
          <w:szCs w:val="21"/>
        </w:rPr>
        <w:t>钢结构部品部件生产设备</w:t>
      </w:r>
      <w:bookmarkEnd w:id="16"/>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4310" cy="3375660"/>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21" cstate="print">
                      <a:extLst>
                        <a:ext uri="{28A0092B-C50C-407E-A947-70E740481C1C}">
                          <a14:useLocalDpi xmlns:a14="http://schemas.microsoft.com/office/drawing/2010/main" val="0"/>
                        </a:ext>
                      </a:extLst>
                    </a:blip>
                    <a:srcRect t="14644"/>
                    <a:stretch>
                      <a:fillRect/>
                    </a:stretch>
                  </pic:blipFill>
                  <pic:spPr>
                    <a:xfrm>
                      <a:off x="0" y="0"/>
                      <a:ext cx="5274310" cy="337566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图2.2-11 钢结构部品部件</w:t>
      </w:r>
    </w:p>
    <w:p>
      <w:pPr>
        <w:spacing w:before="156" w:beforeLines="50" w:after="156" w:afterLines="50"/>
        <w:jc w:val="center"/>
        <w:textAlignment w:val="baseline"/>
        <w:rPr>
          <w:rFonts w:ascii="Times New Roman" w:hAnsi="Times New Roman" w:cs="Times New Roman"/>
          <w:szCs w:val="21"/>
        </w:rPr>
      </w:pPr>
    </w:p>
    <w:p>
      <w:pPr>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4、</w:t>
      </w:r>
      <w:r>
        <w:rPr>
          <w:rFonts w:hint="eastAsia" w:ascii="Times New Roman" w:hAnsi="Times New Roman" w:cs="Times New Roman"/>
          <w:sz w:val="28"/>
          <w:szCs w:val="28"/>
        </w:rPr>
        <w:t>翁源华彩新材料产业园</w:t>
      </w:r>
      <w:r>
        <w:rPr>
          <w:rFonts w:ascii="Times New Roman" w:hAnsi="Times New Roman" w:cs="Times New Roman"/>
          <w:sz w:val="28"/>
          <w:szCs w:val="28"/>
        </w:rPr>
        <w:t>、</w:t>
      </w:r>
      <w:r>
        <w:rPr>
          <w:rFonts w:hint="eastAsia" w:ascii="Times New Roman" w:hAnsi="Times New Roman" w:cs="Times New Roman"/>
          <w:sz w:val="28"/>
          <w:szCs w:val="28"/>
        </w:rPr>
        <w:t>南雄产业转移工业园</w:t>
      </w:r>
      <w:r>
        <w:rPr>
          <w:rFonts w:ascii="Times New Roman" w:hAnsi="Times New Roman" w:cs="Times New Roman"/>
          <w:sz w:val="28"/>
          <w:szCs w:val="28"/>
        </w:rPr>
        <w:t>：涂料</w:t>
      </w:r>
    </w:p>
    <w:p>
      <w:pPr>
        <w:tabs>
          <w:tab w:val="left" w:pos="1253"/>
        </w:tabs>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翁源华彩新材料产业园是翁源县抢抓省进一步促进粤东西北地区振兴发展机遇，围绕市委市政府主动融入珠三角发展战略，与广东鸿盛集团有限公司共同打造的“生态园林式”环保新材料产业园区。</w:t>
      </w:r>
      <w:r>
        <w:rPr>
          <w:rFonts w:ascii="Times New Roman" w:hAnsi="Times New Roman" w:cs="Times New Roman"/>
          <w:sz w:val="28"/>
          <w:szCs w:val="28"/>
        </w:rPr>
        <w:t>华彩新材料园区始建于2009年，定位为绿色安全环保化工涂料专业园区，是全省除珠海、惠州以外的具备安监部门认可的专业园区之一。</w:t>
      </w:r>
      <w:r>
        <w:rPr>
          <w:rFonts w:hint="eastAsia" w:ascii="Times New Roman" w:hAnsi="Times New Roman" w:cs="Times New Roman"/>
          <w:sz w:val="28"/>
          <w:szCs w:val="28"/>
        </w:rPr>
        <w:t>新材料工业园曾先后被评为“广东省中小企业创业基地”和“广东省涂料行业创新示范工业园”，是广东省11个符合承接危化品企业条件的园区之一</w:t>
      </w:r>
      <w:r>
        <w:rPr>
          <w:rFonts w:ascii="Times New Roman" w:hAnsi="Times New Roman" w:cs="Times New Roman"/>
          <w:sz w:val="28"/>
          <w:szCs w:val="28"/>
        </w:rPr>
        <w:t>，</w:t>
      </w:r>
      <w:r>
        <w:rPr>
          <w:rFonts w:hint="eastAsia" w:ascii="Times New Roman" w:hAnsi="Times New Roman" w:cs="Times New Roman"/>
          <w:sz w:val="28"/>
          <w:szCs w:val="28"/>
        </w:rPr>
        <w:t>园区位于京珠高速翁城出口6公里处。园区规划面积8000亩，首期3000亩已建成，主要以树脂涂料、汽车用品为主。</w:t>
      </w:r>
      <w:r>
        <w:rPr>
          <w:rFonts w:ascii="Times New Roman" w:hAnsi="Times New Roman" w:cs="Times New Roman"/>
          <w:sz w:val="28"/>
          <w:szCs w:val="28"/>
        </w:rPr>
        <w:t>一期已有五羊油漆、彤德化工、宏源科技、秀铂化工、欧文化工等知名企业入驻。</w:t>
      </w:r>
    </w:p>
    <w:p>
      <w:pPr>
        <w:tabs>
          <w:tab w:val="left" w:pos="1253"/>
        </w:tabs>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翁源未来在精细化工方向的发展重点，一是重点涂料相关产业，包括：汽车涂料、新型建筑涂料及配套树脂原料，高固含量涂料、水性涂料、粉末涂料和辐射固化涂料等绿色涂料，以及丙烯酸树脂漆、聚酯树脂漆、环氧树脂漆、聚氨酯漆、有机硅树脂漆等低毒化、助剂高效化的高性能涂料。二是重点发展塑料助剂、橡胶助剂、水处理剂、粘胶剂等化工材料。</w:t>
      </w:r>
      <w:r>
        <w:rPr>
          <w:rFonts w:ascii="Times New Roman" w:hAnsi="Times New Roman" w:cs="Times New Roman"/>
          <w:sz w:val="28"/>
          <w:szCs w:val="28"/>
        </w:rPr>
        <w:tab/>
      </w:r>
    </w:p>
    <w:p>
      <w:pPr>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南雄产业转移工业园创建于2008年初，2010年被认定为省产业转移工业园，2020年认定为省级高新技术产业开发区。南雄产业转移工业园首期地处南雄市西南郊，地理位置优越，有对接“长三角”，承接“珠三角”的良好区位优势。</w:t>
      </w:r>
    </w:p>
    <w:p>
      <w:pPr>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园区规划总面积37347亩，分为先进材料、新材料制造、现代农业食品等三个产业园，</w:t>
      </w:r>
      <w:bookmarkStart w:id="17" w:name="_Hlk116549395"/>
      <w:r>
        <w:rPr>
          <w:rFonts w:hint="eastAsia" w:ascii="Times New Roman" w:hAnsi="Times New Roman" w:cs="Times New Roman"/>
          <w:sz w:val="28"/>
          <w:szCs w:val="28"/>
        </w:rPr>
        <w:t>先进材料产业园</w:t>
      </w:r>
      <w:bookmarkEnd w:id="17"/>
      <w:r>
        <w:rPr>
          <w:rFonts w:hint="eastAsia" w:ascii="Times New Roman" w:hAnsi="Times New Roman" w:cs="Times New Roman"/>
          <w:sz w:val="28"/>
          <w:szCs w:val="28"/>
        </w:rPr>
        <w:t>（6071亩）以树脂、涂料、助剂等精细化工为主导产业；新材料制造产业园（27183亩）以新材料（竹纤维、银杏加工）、电气机械及器材制造、林业生物为主导产业；现代农业食品产业园（4093亩）以食品深加工为主导产业，形成了“集聚规模化、配套一体化、发展可持续化”的良好局面。</w:t>
      </w:r>
    </w:p>
    <w:p>
      <w:pPr>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其中以化工涂料为主要产业的先进材料产业园，在推进产业集聚发展的同时，还注重引导企业上市、技改扩产等，扶持入园企业做大做强，园区产业效益日渐显现</w:t>
      </w:r>
      <w:r>
        <w:rPr>
          <w:rFonts w:ascii="Times New Roman" w:hAnsi="Times New Roman" w:cs="Times New Roman"/>
          <w:sz w:val="28"/>
          <w:szCs w:val="28"/>
        </w:rPr>
        <w:t>，</w:t>
      </w:r>
      <w:r>
        <w:rPr>
          <w:rFonts w:hint="eastAsia" w:ascii="Times New Roman" w:hAnsi="Times New Roman" w:cs="Times New Roman"/>
          <w:sz w:val="28"/>
          <w:szCs w:val="28"/>
        </w:rPr>
        <w:t>目前已有中科院广州化学研究所南雄生产基地、广东自由能科技股份有限公司、广东邦固化学科技有限公司等大项目落户南雄并快速发展，有效带动了园区整体实力的提升，逐渐成为南雄精细化工园的“龙头企业”，南雄产业转移工业园一期已逐渐形成精细化工产业集群</w:t>
      </w:r>
      <w:r>
        <w:rPr>
          <w:rFonts w:ascii="Times New Roman" w:hAnsi="Times New Roman" w:cs="Times New Roman"/>
          <w:sz w:val="28"/>
          <w:szCs w:val="28"/>
        </w:rPr>
        <w:t>。</w:t>
      </w:r>
      <w:r>
        <w:rPr>
          <w:rFonts w:hint="eastAsia" w:ascii="Times New Roman" w:hAnsi="Times New Roman" w:cs="Times New Roman"/>
          <w:sz w:val="28"/>
          <w:szCs w:val="28"/>
        </w:rPr>
        <w:t>。</w:t>
      </w:r>
    </w:p>
    <w:p>
      <w:pPr>
        <w:pStyle w:val="2"/>
        <w:snapToGrid w:val="0"/>
        <w:rPr>
          <w:rFonts w:hint="default" w:ascii="Times New Roman" w:hAnsi="Times New Roman" w:cs="Times New Roman"/>
          <w:sz w:val="28"/>
          <w:szCs w:val="28"/>
        </w:rPr>
      </w:pPr>
      <w:r>
        <w:drawing>
          <wp:inline distT="0" distB="0" distL="0" distR="0">
            <wp:extent cx="5274310" cy="2966720"/>
            <wp:effectExtent l="0" t="0" r="2540" b="508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 xml:space="preserve">图2.2-12 </w:t>
      </w:r>
      <w:r>
        <w:rPr>
          <w:rFonts w:hint="eastAsia" w:cs="Times New Roman"/>
          <w:szCs w:val="21"/>
        </w:rPr>
        <w:t>华彩新材料产业园</w:t>
      </w:r>
    </w:p>
    <w:p>
      <w:pPr>
        <w:pStyle w:val="2"/>
        <w:snapToGrid w:val="0"/>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5255895" cy="2795905"/>
            <wp:effectExtent l="0" t="0" r="1905" b="444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256000" cy="2796192"/>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 xml:space="preserve">图2.2-13 </w:t>
      </w:r>
      <w:r>
        <w:rPr>
          <w:rFonts w:hint="eastAsia" w:cs="Times New Roman"/>
          <w:szCs w:val="21"/>
        </w:rPr>
        <w:t>南雄产业转移工业园</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以上两个园区将发挥省级专业化工园区的优势，促进园区现有企业提质增效，加快涂料产业升级调整。大力推进园区涂料产业的油改水进程，逐步提高水性涂料等环境友好型产业的生产比例，对传统涂料产业实行新技术改造。大力发展高端环保涂料，围绕涂料产业配套需求，积极开展精准招商，引导精细化工企业向专业园区集聚。</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5</w:t>
      </w:r>
      <w:r>
        <w:rPr>
          <w:rFonts w:ascii="Times New Roman" w:hAnsi="Times New Roman" w:cs="Times New Roman"/>
          <w:sz w:val="28"/>
          <w:szCs w:val="28"/>
        </w:rPr>
        <w:t>、乐昌产业转移工业园：板材</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乐昌产业转移工业园于2006年9月被认定为省级产业园，规划总面积38000亩，2017年至2020年连续思念在韶关园区考核中被评为优秀园区，发展潜力巨大。距离乐广高速乐昌出口10公里，距离武广高铁乐昌东站3公里，距离正在规划建设的韶关机场16公里，南到广州、深圳仅需2小时，北到长沙、武汉不足3小时，区位优势十分明显。乐昌产业转移工业园主要发展机械装备制造、绿色家居装饰新材料、服饰、电子科技、自动化设备、家电制造等产业。乐昌产业转移工业园定位清晰，编制融入粤港澳大湾区发展的产业发展规划，初步形成先进装备、先进材料和现代轻工的特色产业聚集，正谋划推进新能源、大数据新兴产业发展，吸引众多上下游客商主动前来考察、咨询。园区计划在“十四五”期间培育年产值10亿级企业，形成100亿级企业，正着力加快创建国家知识产权试点园区，省级高新区、省特色园区工作，努力打造大湾区产业转移及配套的优选地和延伸区、广东向北辐射的重要节点，实现高质量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有丰富的森林资源，有良好的板材行业发展基础，其中龙山林场（国家杉木良种繁育中心）便坐落于乐昌市，是林业科学研究落地最早的场所，也是广东最早进行种质资源和种源适应研究基地。借助本土资源优势，目前在乐昌产业转移工业园已有数家建筑板材、绿色家居企业。在与板材、家居企业相关负责人交流中了解到，目前韶关市的板材企业发展受制于两点：一是目前木质板材还未形成产业集群，不利于企业的产品研发和产品供应链整合；二是目前物流体系尚未完善，韶关市良好的地理位置和独特的区位优势，是广东的北大门，但尚未形成物流节点，在与外省的运输物流过程中很多时候要先经过广州，带来成本的上升。对于韶关市的区位优势未能转化为物流优势方面，在2022年2月韶关市人民政府印发了《关于促进我市商贸物流高质量发展的实施意见（试行）》，提出到2025年，将把韶关打造成为高效联通粤港澳大湾区与内地，“南货北运”“北货南运”的区域性商贸物流枢纽节点城市。</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4310" cy="295846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74310" cy="2958465"/>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图2.2-12 乐昌产业转移工业园</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4310" cy="328549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25" cstate="print">
                      <a:extLst>
                        <a:ext uri="{28A0092B-C50C-407E-A947-70E740481C1C}">
                          <a14:useLocalDpi xmlns:a14="http://schemas.microsoft.com/office/drawing/2010/main" val="0"/>
                        </a:ext>
                      </a:extLst>
                    </a:blip>
                    <a:srcRect t="16950"/>
                    <a:stretch>
                      <a:fillRect/>
                    </a:stretch>
                  </pic:blipFill>
                  <pic:spPr>
                    <a:xfrm>
                      <a:off x="0" y="0"/>
                      <a:ext cx="5274310" cy="3285490"/>
                    </a:xfrm>
                    <a:prstGeom prst="rect">
                      <a:avLst/>
                    </a:prstGeom>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图2.2-13 乐昌市板材生产企业</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4310" cy="3956050"/>
            <wp:effectExtent l="0" t="0" r="2540" b="635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图2.2-14 乐昌市产业转移工业园绿色家居企业生产的板材</w:t>
      </w:r>
    </w:p>
    <w:p>
      <w:pPr>
        <w:pStyle w:val="2"/>
        <w:jc w:val="center"/>
        <w:rPr>
          <w:rFonts w:hint="default" w:ascii="Times New Roman" w:hAnsi="Times New Roman" w:cs="Times New Roman"/>
          <w:szCs w:val="21"/>
        </w:rPr>
      </w:pP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调研发现，韶关市除了有丰富的木材资源外，在竹产业方面也拥有良好的发展条件，部分县（市、区）如始兴县、南雄市等有较为丰富的竹资源，且竹产业已初具规模，目前始兴县高度重视竹产业发展，把竹产业作为该县重要林业产业来抓。韶关市可适度发展竹制建材产业，充分利用本地资源优势，培育引进竹纤维材料、竹制板材、竹制家具等竹加工业。</w:t>
      </w:r>
    </w:p>
    <w:p>
      <w:pPr>
        <w:spacing w:after="156" w:afterLines="50"/>
        <w:outlineLvl w:val="1"/>
        <w:rPr>
          <w:rFonts w:ascii="Times New Roman" w:hAnsi="Times New Roman" w:eastAsia="楷体" w:cs="Times New Roman"/>
          <w:b/>
          <w:bCs/>
          <w:sz w:val="32"/>
          <w:szCs w:val="32"/>
        </w:rPr>
      </w:pPr>
      <w:bookmarkStart w:id="18" w:name="_Toc116399592"/>
      <w:r>
        <w:rPr>
          <w:rFonts w:ascii="Times New Roman" w:hAnsi="Times New Roman" w:eastAsia="楷体" w:cs="Times New Roman"/>
          <w:b/>
          <w:bCs/>
          <w:sz w:val="32"/>
          <w:szCs w:val="32"/>
        </w:rPr>
        <w:t>2.3 存在问题</w:t>
      </w:r>
      <w:bookmarkEnd w:id="18"/>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根据韶关市2021年国民经济和社会发展统计公报：2020年全年建筑业增加值92.78亿元，比上年增长9.2%。年末资质等级建筑企业258个，完成建筑业总产值239.8亿元、增长12.4%。装配式建筑工程产值7735万元。</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从大背景来看，中央大力推动市场化改革，并通过推动城镇化刺激内需，需要建立强大的产业支撑和完善的生活配套设施，而广东省等经济先发地区将更早行动起来，市场化改革、城镇化推进步伐也会更快。</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虽然“十三五”期间韶关市建筑节能与绿色建筑工作取得了阶段性成效，但与先进地区建筑节能与绿色建筑发展工作相比，与社会公众对建筑舒适性、健康性不断增长的需求相比，</w:t>
      </w:r>
      <w:bookmarkStart w:id="19" w:name="_Toc477512183"/>
      <w:bookmarkStart w:id="20" w:name="_Toc32176"/>
      <w:bookmarkStart w:id="21" w:name="_Toc24291"/>
      <w:bookmarkStart w:id="22" w:name="_Toc12053"/>
      <w:bookmarkStart w:id="23" w:name="_Toc25930"/>
      <w:bookmarkStart w:id="24" w:name="_Toc14525"/>
      <w:bookmarkStart w:id="25" w:name="_Toc21113"/>
      <w:bookmarkStart w:id="26" w:name="_Toc6377"/>
      <w:bookmarkStart w:id="27" w:name="_Toc14095"/>
      <w:bookmarkStart w:id="28" w:name="_Toc26270"/>
      <w:bookmarkStart w:id="29" w:name="_Toc2563"/>
      <w:r>
        <w:rPr>
          <w:rFonts w:ascii="Times New Roman" w:hAnsi="Times New Roman" w:cs="Times New Roman"/>
          <w:sz w:val="28"/>
          <w:szCs w:val="28"/>
        </w:rPr>
        <w:t>但仍存在一些不容忽视的困难和问题，一是推动建筑节能与绿色建筑发展的政策法规体系尚不完善，监管机制不够健全，配套政策措施亟需加强；二是企业自愿参与绿色建筑的意愿还不高，多数单位（企业）认为绿色建筑增量投资较大，对发展绿色建筑缺少积极性、主动性；三是以全寿命周期指导绿色建筑与建筑节能发展的机制尚不健全，新建建筑的绿色规划（设计）、绿色施工、绿色运营有待加强，绿色建材使用比例偏低；四是既有建筑节能改造仍以单项改造为主，如更换照明灯具，涉及围护结构及空调、电梯等用能系统的综合性、系统性节能改造较少；四是</w:t>
      </w:r>
      <w:bookmarkStart w:id="30" w:name="_Hlk109832299"/>
      <w:r>
        <w:rPr>
          <w:rFonts w:ascii="Times New Roman" w:hAnsi="Times New Roman" w:cs="Times New Roman"/>
          <w:sz w:val="28"/>
          <w:szCs w:val="28"/>
        </w:rPr>
        <w:t>装配式建筑政策落实不够到位</w:t>
      </w:r>
      <w:bookmarkEnd w:id="30"/>
      <w:r>
        <w:rPr>
          <w:rFonts w:ascii="Times New Roman" w:hAnsi="Times New Roman" w:cs="Times New Roman"/>
          <w:sz w:val="28"/>
          <w:szCs w:val="28"/>
        </w:rPr>
        <w:t>，虽然我市已出台了《韶关市人民政府办公室关于大力发展装配式建筑的实施意见》（韶府办〔2019〕25 号），明确了各相关职能职责，但基本上还是停留在文件上，并未真正落实到位（例如：建设用地规划条件和项目建设条件意见书制度尚未落实装配式建筑建设要求，适应装配式建筑发展的工程总承包模式及招标投标等管理机制尚未完善）；五是</w:t>
      </w:r>
      <w:bookmarkStart w:id="31" w:name="_Hlk109832319"/>
      <w:r>
        <w:rPr>
          <w:rFonts w:ascii="Times New Roman" w:hAnsi="Times New Roman" w:cs="Times New Roman"/>
          <w:sz w:val="28"/>
          <w:szCs w:val="28"/>
        </w:rPr>
        <w:t>装配式建筑产业发展相对滞后</w:t>
      </w:r>
      <w:bookmarkEnd w:id="31"/>
      <w:r>
        <w:rPr>
          <w:rFonts w:ascii="Times New Roman" w:hAnsi="Times New Roman" w:cs="Times New Roman"/>
          <w:sz w:val="28"/>
          <w:szCs w:val="28"/>
        </w:rPr>
        <w:t>，与珠三角城市相比，我市受经济条件的制约，装配式建筑设计、施工、生产企业规模化、集聚度不高，本地传统企业转型步伐慢，且专业人才匮乏，技术力量薄弱，严重制约了我市装配式建筑推广。</w:t>
      </w:r>
    </w:p>
    <w:bookmarkEnd w:id="19"/>
    <w:bookmarkEnd w:id="20"/>
    <w:bookmarkEnd w:id="21"/>
    <w:bookmarkEnd w:id="22"/>
    <w:bookmarkEnd w:id="23"/>
    <w:bookmarkEnd w:id="24"/>
    <w:bookmarkEnd w:id="25"/>
    <w:bookmarkEnd w:id="26"/>
    <w:bookmarkEnd w:id="27"/>
    <w:bookmarkEnd w:id="28"/>
    <w:bookmarkEnd w:id="29"/>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另外，</w:t>
      </w:r>
      <w:bookmarkStart w:id="32" w:name="_Hlk109832335"/>
      <w:r>
        <w:rPr>
          <w:rFonts w:ascii="Times New Roman" w:hAnsi="Times New Roman" w:cs="Times New Roman"/>
          <w:sz w:val="28"/>
          <w:szCs w:val="28"/>
        </w:rPr>
        <w:t>建材产业</w:t>
      </w:r>
      <w:bookmarkEnd w:id="32"/>
      <w:r>
        <w:rPr>
          <w:rFonts w:ascii="Times New Roman" w:hAnsi="Times New Roman" w:cs="Times New Roman"/>
          <w:sz w:val="28"/>
          <w:szCs w:val="28"/>
        </w:rPr>
        <w:t>也存在一些待完善问题。一是产业</w:t>
      </w:r>
      <w:bookmarkStart w:id="33" w:name="_Hlk109832342"/>
      <w:r>
        <w:rPr>
          <w:rFonts w:ascii="Times New Roman" w:hAnsi="Times New Roman" w:cs="Times New Roman"/>
          <w:sz w:val="28"/>
          <w:szCs w:val="28"/>
        </w:rPr>
        <w:t>布局有待进一步完善</w:t>
      </w:r>
      <w:bookmarkEnd w:id="33"/>
      <w:r>
        <w:rPr>
          <w:rFonts w:ascii="Times New Roman" w:hAnsi="Times New Roman" w:cs="Times New Roman"/>
          <w:sz w:val="28"/>
          <w:szCs w:val="28"/>
        </w:rPr>
        <w:t>。近年由于产业政策和节能环保政策的调整，原有产业格局和产业链受到影响，新的产业布局和产业链还不够完善。二是</w:t>
      </w:r>
      <w:bookmarkStart w:id="34" w:name="_Hlk109832355"/>
      <w:r>
        <w:rPr>
          <w:rFonts w:ascii="Times New Roman" w:hAnsi="Times New Roman" w:cs="Times New Roman"/>
          <w:sz w:val="28"/>
          <w:szCs w:val="28"/>
        </w:rPr>
        <w:t>关键核心技术水平和高端产品有待进一步提高</w:t>
      </w:r>
      <w:bookmarkEnd w:id="34"/>
      <w:r>
        <w:rPr>
          <w:rFonts w:ascii="Times New Roman" w:hAnsi="Times New Roman" w:cs="Times New Roman"/>
          <w:sz w:val="28"/>
          <w:szCs w:val="28"/>
        </w:rPr>
        <w:t>，自动化和智能化技术装备水平与发达地区相比存在较大差距，传统产品占比较大，高端产品较少。三是骨干企业竞争力有待进一步增强，品牌质量优势不明显。四是产业创新能力</w:t>
      </w:r>
      <w:bookmarkStart w:id="35" w:name="_Hlk109832383"/>
      <w:r>
        <w:rPr>
          <w:rFonts w:ascii="Times New Roman" w:hAnsi="Times New Roman" w:cs="Times New Roman"/>
          <w:sz w:val="28"/>
          <w:szCs w:val="28"/>
        </w:rPr>
        <w:t>有待进一步提升</w:t>
      </w:r>
      <w:bookmarkEnd w:id="35"/>
      <w:r>
        <w:rPr>
          <w:rFonts w:ascii="Times New Roman" w:hAnsi="Times New Roman" w:cs="Times New Roman"/>
          <w:sz w:val="28"/>
          <w:szCs w:val="28"/>
        </w:rPr>
        <w:t>，创新体系和创新型人才队伍建设有待增强，企业研发投入占比与发达地区仍有差距。五是绿色发展有待进一步提升，绿色制造体系不够健全，主要产品平均能耗和固废资源综合利用质量与发达地区相还存在差距。</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目前韶关市生产的建材主要在本地消纳，为扩大韶关市的建材产业规模，需要充分发挥韶关市本地骨料、干拌砂浆和特种砂浆原料、森林等原材料资源丰富的特点，并引导预拌砂浆、砌块、竹材、板材等行业发展起来并“走出去”，通过引导建材在产业链、品种、质量等方面的上一个台阶，提高韶关市建材在周边省市的辐射距离。后续发展重点应以韶关市本地有原材料优势、有生产能力的行业为主，且具有技术和产品需求的，如玻璃、隔墙板、涂料等，发展壮大建材行业。以绿色建材、PC件、钢构为重点，附带其他建材，尽量依托已有工业园或现在已经形成产业的，落实建材规划布点。韶关市的城市管理综合执法局已合并至住房和城乡建设管理局，在废旧建材回收再利用方面相较于其他城市更有抓手，韶关市可以利用该优势出台研究相关措施加快推进建筑垃圾再利用等。</w:t>
      </w:r>
    </w:p>
    <w:p>
      <w:pPr>
        <w:spacing w:after="156" w:afterLines="50"/>
        <w:outlineLvl w:val="1"/>
        <w:rPr>
          <w:rFonts w:ascii="Times New Roman" w:hAnsi="Times New Roman" w:eastAsia="楷体" w:cs="Times New Roman"/>
          <w:b/>
          <w:bCs/>
          <w:sz w:val="32"/>
          <w:szCs w:val="32"/>
        </w:rPr>
      </w:pPr>
      <w:bookmarkStart w:id="36" w:name="_Toc116399593"/>
      <w:r>
        <w:rPr>
          <w:rFonts w:ascii="Times New Roman" w:hAnsi="Times New Roman" w:eastAsia="楷体" w:cs="Times New Roman"/>
          <w:b/>
          <w:bCs/>
          <w:sz w:val="32"/>
          <w:szCs w:val="32"/>
        </w:rPr>
        <w:t>2.4 本章小结</w:t>
      </w:r>
      <w:bookmarkEnd w:id="36"/>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地理位置上，韶关市位处粤湘赣三省交界处，有良好的区位优势。在资源禀赋上，韶关市有良好的钢铁、矿产、竹材、木材、新能源等资源，在精深加工方面也有一定的基础。“十四五”时期，韶关市可借助绿色建筑、装配式建筑、新型工业化等发展趋势，合理谋划发展建筑和建材产业。目前韶关市的绿色建筑推进工作已有了一定的成效，但韶关市装配式建筑和绿色施工的发展相对比较缓慢。韶关市现有建材企业约136家，从生产的建材类型来看，以预拌混凝土、预拌砂浆类占比最大；从分布上来看，坐落在武江区、乐昌市的建材企业最多。</w:t>
      </w:r>
    </w:p>
    <w:p>
      <w:pPr>
        <w:widowControl/>
        <w:ind w:firstLine="560" w:firstLineChars="200"/>
        <w:jc w:val="left"/>
        <w:rPr>
          <w:rFonts w:ascii="Times New Roman" w:hAnsi="Times New Roman" w:cs="Times New Roman"/>
          <w:sz w:val="28"/>
          <w:szCs w:val="28"/>
        </w:rPr>
      </w:pPr>
    </w:p>
    <w:p>
      <w:pPr>
        <w:widowControl/>
        <w:ind w:firstLine="560" w:firstLineChars="200"/>
        <w:jc w:val="left"/>
        <w:rPr>
          <w:rFonts w:ascii="Times New Roman" w:hAnsi="Times New Roman" w:cs="Times New Roman"/>
          <w:sz w:val="28"/>
          <w:szCs w:val="28"/>
        </w:rPr>
      </w:pPr>
    </w:p>
    <w:p>
      <w:pPr>
        <w:widowControl/>
        <w:ind w:firstLine="560" w:firstLineChars="200"/>
        <w:jc w:val="left"/>
        <w:rPr>
          <w:rFonts w:ascii="Times New Roman" w:hAnsi="Times New Roman" w:cs="Times New Roman"/>
          <w:sz w:val="28"/>
          <w:szCs w:val="28"/>
        </w:rPr>
      </w:pPr>
    </w:p>
    <w:p>
      <w:pPr>
        <w:pStyle w:val="2"/>
        <w:jc w:val="center"/>
        <w:rPr>
          <w:rFonts w:hint="default" w:ascii="Times New Roman" w:hAnsi="Times New Roman" w:cs="Times New Roman"/>
        </w:rPr>
        <w:sectPr>
          <w:pgSz w:w="11906" w:h="16838"/>
          <w:pgMar w:top="1440" w:right="1800" w:bottom="1440" w:left="1800" w:header="851" w:footer="992" w:gutter="0"/>
          <w:cols w:space="425" w:num="1"/>
          <w:docGrid w:type="lines" w:linePitch="312" w:charSpace="0"/>
        </w:sectPr>
      </w:pPr>
    </w:p>
    <w:p>
      <w:pPr>
        <w:pStyle w:val="3"/>
        <w:jc w:val="center"/>
        <w:rPr>
          <w:rFonts w:ascii="Times New Roman" w:hAnsi="Times New Roman" w:eastAsia="黑体" w:cs="Times New Roman"/>
          <w:sz w:val="36"/>
          <w:szCs w:val="36"/>
        </w:rPr>
      </w:pPr>
      <w:bookmarkStart w:id="37" w:name="_Toc116399594"/>
      <w:bookmarkStart w:id="38" w:name="_Hlk88582120"/>
      <w:r>
        <w:rPr>
          <w:rFonts w:ascii="Times New Roman" w:hAnsi="Times New Roman" w:eastAsia="黑体" w:cs="Times New Roman"/>
          <w:sz w:val="36"/>
          <w:szCs w:val="36"/>
        </w:rPr>
        <w:t>第三章 发展环境分析与体系设计</w:t>
      </w:r>
      <w:bookmarkEnd w:id="37"/>
    </w:p>
    <w:bookmarkEnd w:id="38"/>
    <w:p>
      <w:pPr>
        <w:spacing w:after="156" w:afterLines="50"/>
        <w:outlineLvl w:val="1"/>
        <w:rPr>
          <w:rFonts w:ascii="Times New Roman" w:hAnsi="Times New Roman" w:eastAsia="楷体" w:cs="Times New Roman"/>
          <w:b/>
          <w:bCs/>
          <w:sz w:val="32"/>
          <w:szCs w:val="32"/>
        </w:rPr>
      </w:pPr>
      <w:bookmarkStart w:id="39" w:name="_Toc116399595"/>
      <w:r>
        <w:rPr>
          <w:rFonts w:ascii="Times New Roman" w:hAnsi="Times New Roman" w:eastAsia="楷体" w:cs="Times New Roman"/>
          <w:b/>
          <w:bCs/>
          <w:sz w:val="32"/>
          <w:szCs w:val="32"/>
        </w:rPr>
        <w:t>3.1 韶关市绿色建材产业发展趋势与规模分析预测</w:t>
      </w:r>
      <w:bookmarkEnd w:id="39"/>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十三五”及今后一段时期，我国正处于经济转型升级、加快推进工业化、城镇化和农业现代化的重要时期，随着能源资源和生态环境压力的不断扩大，传统高投入、高消耗、高排放的工业化、城镇化发展模式难以为继，绿色发展将成为主题。</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城镇化作为保持经济持续健康发展的强大引擎，其快速发展使新建建筑规模仍将持续增长，并要求大力发展绿色建筑，推进建筑工业化，以提高建筑能源利用效率和降低建筑能耗。为实现节能减排目标，加快建筑业转型升级。《关于加快推动我国绿色建筑发展的实施意见》中提出，2020年城镇绿色建筑占新建建筑比重将超过50%；《绿色建筑行动方案》和《国家新型城镇化规划（2014-2020年）》均提出要推动建筑工业化发展。绿色建材作为绿色建筑发展的基础，绿色建材产品的品种和性能、绿色建材产业的发展规模和质量将直接影响绿色建筑的发展，是绿色建筑和建筑工业化发展的必然需求。</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工业和信息化部、住房城乡建设部联合印发《促进绿色建材生产和应用行动方案》的总体要求中重点强调，以绿色建材生产和应用突出问题为导向，明确重点任务，开展专项行动，实现建材工业和建筑业稳增长、调结构、转方式和可持续发展，大力推动绿色建筑发展、绿色城市建设。要推动绿色建材应用占比稳步提高。新建建筑中绿色建材应用比例达到30%，绿色建筑应用比例达到50%，试点示范工程应用比例达到70%，既有建筑改造应用比例提高到80%。</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综合上述，来来我国经济发展形势、城镇化进程以及国家对绿色建筑及绿色建材的大力推广政策都将拉动绿色建材的消费，产品市场规模会显著扩大。据初步估算，2020年我国绿色建材产业规模超过7300亿元。据测算，建筑业每增加1万元产值，至少消耗0.35万元建材产品。</w:t>
      </w:r>
    </w:p>
    <w:p>
      <w:pPr>
        <w:pStyle w:val="5"/>
        <w:spacing w:before="0" w:after="156" w:afterLines="50" w:line="360" w:lineRule="auto"/>
        <w:rPr>
          <w:rFonts w:ascii="Times New Roman" w:hAnsi="Times New Roman" w:cs="Times New Roman"/>
          <w:sz w:val="28"/>
          <w:szCs w:val="28"/>
        </w:rPr>
      </w:pPr>
      <w:bookmarkStart w:id="40" w:name="_Toc782"/>
      <w:r>
        <w:rPr>
          <w:rFonts w:ascii="Times New Roman" w:hAnsi="Times New Roman" w:cs="Times New Roman"/>
          <w:sz w:val="28"/>
          <w:szCs w:val="28"/>
        </w:rPr>
        <w:t>3.1.1 韶关“十四五”国民经济和社会发展目标任务</w:t>
      </w:r>
      <w:bookmarkEnd w:id="40"/>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紧紧围绕全力筑牢粤北生态屏障、打造绿色发展韶关样板、争当北部生态发展区高质量发展排头兵的目标定位，突出生态优先、绿色发展，加快对接融入粤港澳大湾区和深圳中国特色社会主义先行示范区建设，推进新型工业化、信息化、城镇化、农业现代化，加快实现资源资产价值化，加快建设现代化经济体系，推进治理体系和治理能力现代化，统筹发展和安全，实现经济高质量发展、社会安定和谐，精神文明建设和文化建设再上新台阶，为广东在全面建设社会主义现代化国家新征程中走在全国前列、创造新的辉煌作出韶关贡献。</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产业发展原则：生态农业稳步发展，绿色工业迅猛发展，生态旅游蓬勃发展，传统产业焕发新活力，新兴产业快速崛起，全国产业转型升级示范区建设取得重要成效。</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推进新型工业化任务。坚持把工业作为经济工作的重中之重来抓，落实省“20个战略性产业集群”发展要求，构建绿色工业体系。实施“3+3”产业培育发展行动，重点打造先进材料、先进装备制造、现代轻工业三大战略性支柱产业，培育发展电子信息制造、生物医药与健康、大数据及软件信息服务三大战略性新兴产业，推动产业结构向中高端迈进，形成“支柱产业支撑带动、新兴产业突破发展”的良好局面。支持韶钢、韶冶等企业推进绿色化改造、智能化升级，加强政策改革创新，对现有土地进行再开发再利用，通过产业链、供应链招商，促进“链主”企业自身提质升级，带动产品向下游延伸、向高端攀升，争取纳入省产业园管理，探索厂区变园区、产区变城区的老工业基地调整改造、传统产业转型发展实现路径，实现“再造一个韶钢、再建一个韶冶”目标。支持大宝山、凡口矿等矿山企业走绿色转型之路，打造国家级绿色矿山。实施百家优质企业倍增计划，建立“专精特新”企业培育库和产值超亿元企业培育库，培育发展一批国家级、省级、市级的“小巨人”和“专精特新”中小企业，加快推动优质企业实现倍增。实施园区优化布局和提质增效工程，推进全市产业园区规划修编，拓展园区发展空间，以“建链、强链、延链、补链”为重点，引导企业入园发展，不断提高园区产业集聚水平。加快推进园区标准化厂房、仓储物流中心、水电气管网、污水处理厂等基础设施建设，完善教育、医疗、商业、休闲等生活配套，提升园区服务能力和承载能力。依托现有产业基础及资源优势，加快打造特色产业园，建设韶关融湾南部平台等承接“双区”产业转移重要基地。</w:t>
      </w:r>
    </w:p>
    <w:p>
      <w:pPr>
        <w:pStyle w:val="5"/>
        <w:spacing w:before="0" w:after="156" w:afterLines="50" w:line="360" w:lineRule="auto"/>
        <w:rPr>
          <w:rFonts w:ascii="Times New Roman" w:hAnsi="Times New Roman" w:cs="Times New Roman"/>
          <w:sz w:val="28"/>
          <w:szCs w:val="28"/>
        </w:rPr>
      </w:pPr>
      <w:bookmarkStart w:id="41" w:name="_Toc27250"/>
      <w:r>
        <w:rPr>
          <w:rFonts w:ascii="Times New Roman" w:hAnsi="Times New Roman" w:cs="Times New Roman"/>
          <w:sz w:val="28"/>
          <w:szCs w:val="28"/>
        </w:rPr>
        <w:t>3.1.2 韶关市城市总体规划有关内容</w:t>
      </w:r>
      <w:bookmarkEnd w:id="41"/>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全面落实主动融入珠三角总战略，将韶关市建成“国家生态文明先行示范区、全国著名的优秀旅游城市、珠三产业共建和区域合作融合发展区”。</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规划形成“1+2+5”、“两带三区”的市域城镇空间结构。1个市级主中心：即韶关中心城区。2个市级副中心：包括乐昌城区、南雄城区。5个县域中心城市：包括始兴城区、仁化城区、乳源城区、新丰城区、翁源城区。两带：两条市域发展带，包括广佛肇－韶湘发展带、深莞惠－韶赣发展带。三区：包括北部生态融合发展区、中部核心发展区以及南部先行融合发展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4175125" cy="4417695"/>
            <wp:effectExtent l="0" t="0" r="3175" b="190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27"/>
                    <a:stretch>
                      <a:fillRect/>
                    </a:stretch>
                  </pic:blipFill>
                  <pic:spPr>
                    <a:xfrm>
                      <a:off x="0" y="0"/>
                      <a:ext cx="4175125" cy="4417695"/>
                    </a:xfrm>
                    <a:prstGeom prst="rect">
                      <a:avLst/>
                    </a:prstGeom>
                    <a:noFill/>
                    <a:ln>
                      <a:noFill/>
                    </a:ln>
                  </pic:spPr>
                </pic:pic>
              </a:graphicData>
            </a:graphic>
          </wp:inline>
        </w:drawing>
      </w:r>
      <w:r>
        <w:rPr>
          <w:rFonts w:cs="Times New Roman"/>
          <w:szCs w:val="21"/>
        </w:rPr>
        <w:drawing>
          <wp:inline distT="0" distB="0" distL="114300" distR="114300">
            <wp:extent cx="969645" cy="1108075"/>
            <wp:effectExtent l="0" t="0" r="8255" b="952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28"/>
                    <a:stretch>
                      <a:fillRect/>
                    </a:stretch>
                  </pic:blipFill>
                  <pic:spPr>
                    <a:xfrm>
                      <a:off x="0" y="0"/>
                      <a:ext cx="969645" cy="1108075"/>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图3.1-1 韶关市域城镇空间结构</w:t>
      </w:r>
    </w:p>
    <w:p>
      <w:pPr>
        <w:pStyle w:val="5"/>
        <w:spacing w:before="0" w:after="156" w:afterLines="50" w:line="360" w:lineRule="auto"/>
        <w:rPr>
          <w:rFonts w:ascii="Times New Roman" w:hAnsi="Times New Roman" w:cs="Times New Roman"/>
          <w:sz w:val="28"/>
          <w:szCs w:val="28"/>
        </w:rPr>
      </w:pPr>
      <w:bookmarkStart w:id="42" w:name="_Toc12182"/>
      <w:bookmarkStart w:id="43" w:name="_Toc29435"/>
      <w:bookmarkStart w:id="44" w:name="_Toc18539"/>
      <w:bookmarkStart w:id="45" w:name="_Toc23672"/>
      <w:bookmarkStart w:id="46" w:name="_Toc14083_WPSOffice_Level2"/>
      <w:r>
        <w:rPr>
          <w:rFonts w:ascii="Times New Roman" w:hAnsi="Times New Roman" w:cs="Times New Roman"/>
          <w:sz w:val="28"/>
          <w:szCs w:val="28"/>
        </w:rPr>
        <w:t xml:space="preserve">3.1.3 </w:t>
      </w:r>
      <w:bookmarkStart w:id="47" w:name="_Hlk107233285"/>
      <w:r>
        <w:rPr>
          <w:rFonts w:ascii="Times New Roman" w:hAnsi="Times New Roman" w:cs="Times New Roman"/>
          <w:sz w:val="28"/>
          <w:szCs w:val="28"/>
        </w:rPr>
        <w:t>绿色建筑、建材、新型建筑工业化发展目标测算</w:t>
      </w:r>
      <w:bookmarkEnd w:id="42"/>
      <w:bookmarkEnd w:id="43"/>
      <w:bookmarkEnd w:id="44"/>
      <w:bookmarkEnd w:id="45"/>
      <w:bookmarkEnd w:id="46"/>
      <w:bookmarkEnd w:id="47"/>
    </w:p>
    <w:p>
      <w:pPr>
        <w:pStyle w:val="2"/>
        <w:snapToGrid w:val="0"/>
        <w:spacing w:line="360" w:lineRule="auto"/>
        <w:ind w:firstLine="560" w:firstLineChars="200"/>
        <w:rPr>
          <w:rFonts w:hint="default" w:ascii="Times New Roman" w:hAnsi="Times New Roman" w:cs="Times New Roman"/>
          <w:sz w:val="28"/>
          <w:szCs w:val="28"/>
        </w:rPr>
      </w:pPr>
      <w:bookmarkStart w:id="48" w:name="_Hlk107233242"/>
      <w:r>
        <w:rPr>
          <w:rFonts w:ascii="Times New Roman" w:hAnsi="Times New Roman" w:cs="Times New Roman"/>
          <w:sz w:val="28"/>
          <w:szCs w:val="28"/>
        </w:rPr>
        <w:t>根据广东省绿色建筑“十四五”初步确定的目标，结合韶关的发展趋势和建设规模</w:t>
      </w:r>
      <w:bookmarkEnd w:id="48"/>
      <w:r>
        <w:rPr>
          <w:rFonts w:ascii="Times New Roman" w:hAnsi="Times New Roman" w:cs="Times New Roman"/>
          <w:sz w:val="28"/>
          <w:szCs w:val="28"/>
        </w:rPr>
        <w:t>，韶关市相关发展目标如下表：</w:t>
      </w:r>
    </w:p>
    <w:p>
      <w:pPr>
        <w:pStyle w:val="26"/>
        <w:spacing w:before="156" w:beforeLines="50" w:after="156" w:afterLines="50" w:line="240" w:lineRule="auto"/>
        <w:ind w:left="0" w:leftChars="0"/>
        <w:jc w:val="center"/>
        <w:rPr>
          <w:rFonts w:cs="Times New Roman"/>
        </w:rPr>
      </w:pPr>
      <w:r>
        <w:rPr>
          <w:rFonts w:cs="Times New Roman"/>
        </w:rPr>
        <w:t>表3.1-1  韶关市“十四五”绿色建筑发展目标</w:t>
      </w:r>
    </w:p>
    <w:tbl>
      <w:tblPr>
        <w:tblStyle w:val="18"/>
        <w:tblW w:w="81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260"/>
        <w:gridCol w:w="6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738" w:type="dxa"/>
            <w:vAlign w:val="center"/>
          </w:tcPr>
          <w:p>
            <w:pPr>
              <w:spacing w:line="360" w:lineRule="auto"/>
              <w:jc w:val="center"/>
              <w:rPr>
                <w:rFonts w:ascii="Times New Roman" w:hAnsi="Times New Roman" w:eastAsia="宋体" w:cs="Times New Roman"/>
                <w:b/>
                <w:bCs/>
                <w:szCs w:val="21"/>
              </w:rPr>
            </w:pPr>
            <w:r>
              <w:rPr>
                <w:rFonts w:ascii="Times New Roman" w:hAnsi="Times New Roman" w:eastAsia="宋体" w:cs="Times New Roman"/>
                <w:b/>
                <w:bCs/>
                <w:szCs w:val="21"/>
              </w:rPr>
              <w:t>序号</w:t>
            </w:r>
          </w:p>
        </w:tc>
        <w:tc>
          <w:tcPr>
            <w:tcW w:w="1260" w:type="dxa"/>
            <w:vAlign w:val="center"/>
          </w:tcPr>
          <w:p>
            <w:pPr>
              <w:spacing w:line="360" w:lineRule="auto"/>
              <w:jc w:val="center"/>
              <w:rPr>
                <w:rFonts w:ascii="Times New Roman" w:hAnsi="Times New Roman" w:eastAsia="宋体" w:cs="Times New Roman"/>
                <w:b/>
                <w:bCs/>
                <w:szCs w:val="21"/>
              </w:rPr>
            </w:pPr>
            <w:r>
              <w:rPr>
                <w:rFonts w:ascii="Times New Roman" w:hAnsi="Times New Roman" w:eastAsia="宋体" w:cs="Times New Roman"/>
                <w:b/>
                <w:bCs/>
                <w:szCs w:val="21"/>
              </w:rPr>
              <w:t>内容</w:t>
            </w:r>
          </w:p>
        </w:tc>
        <w:tc>
          <w:tcPr>
            <w:tcW w:w="6180" w:type="dxa"/>
            <w:vAlign w:val="center"/>
          </w:tcPr>
          <w:p>
            <w:pPr>
              <w:spacing w:line="360" w:lineRule="auto"/>
              <w:jc w:val="center"/>
              <w:rPr>
                <w:rFonts w:ascii="Times New Roman" w:hAnsi="Times New Roman" w:eastAsia="宋体" w:cs="Times New Roman"/>
                <w:b/>
                <w:bCs/>
                <w:szCs w:val="21"/>
              </w:rPr>
            </w:pPr>
            <w:r>
              <w:rPr>
                <w:rFonts w:ascii="Times New Roman" w:hAnsi="Times New Roman" w:eastAsia="宋体" w:cs="Times New Roman"/>
                <w:b/>
                <w:bCs/>
                <w:szCs w:val="21"/>
              </w:rPr>
              <w:t>具体目标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0" w:hRule="atLeast"/>
          <w:jc w:val="center"/>
        </w:trPr>
        <w:tc>
          <w:tcPr>
            <w:tcW w:w="738" w:type="dxa"/>
            <w:vMerge w:val="restart"/>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1</w:t>
            </w:r>
          </w:p>
        </w:tc>
        <w:tc>
          <w:tcPr>
            <w:tcW w:w="1260" w:type="dxa"/>
            <w:vMerge w:val="restart"/>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绿色</w:t>
            </w:r>
          </w:p>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建筑</w:t>
            </w: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新建民用建筑全面按照绿色建筑标准进行建设：到2022年占比达到65%以上，到2023年，城镇新建民用建筑中绿色建筑面积占比达到75%以上；到2025年，全面实现按照绿色建筑建设。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8" w:type="dxa"/>
            <w:vMerge w:val="continue"/>
            <w:vAlign w:val="center"/>
          </w:tcPr>
          <w:p>
            <w:pPr>
              <w:spacing w:line="360" w:lineRule="auto"/>
              <w:jc w:val="center"/>
              <w:rPr>
                <w:rFonts w:ascii="Times New Roman" w:hAnsi="Times New Roman" w:eastAsia="宋体" w:cs="Times New Roman"/>
                <w:szCs w:val="21"/>
              </w:rPr>
            </w:pPr>
          </w:p>
        </w:tc>
        <w:tc>
          <w:tcPr>
            <w:tcW w:w="1260" w:type="dxa"/>
            <w:vMerge w:val="continue"/>
            <w:vAlign w:val="center"/>
          </w:tcPr>
          <w:p>
            <w:pPr>
              <w:spacing w:line="360" w:lineRule="auto"/>
              <w:jc w:val="center"/>
              <w:rPr>
                <w:rFonts w:ascii="Times New Roman" w:hAnsi="Times New Roman" w:eastAsia="宋体" w:cs="Times New Roman"/>
                <w:szCs w:val="21"/>
              </w:rPr>
            </w:pP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大力发展星级绿色建筑。到2025年，全市一星级及以上绿色建筑面积占当年新增绿色建筑面积的比例超过30%。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5" w:hRule="atLeast"/>
          <w:jc w:val="center"/>
        </w:trPr>
        <w:tc>
          <w:tcPr>
            <w:tcW w:w="738" w:type="dxa"/>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2</w:t>
            </w:r>
          </w:p>
        </w:tc>
        <w:tc>
          <w:tcPr>
            <w:tcW w:w="1260" w:type="dxa"/>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装配式建筑与新型建造方式</w:t>
            </w: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到2025年末，全市装配式建筑面积占新建建筑面积的比例达到20%以上。从2021年起，政府投资总规划建筑面积为1万平方米（含）以上的新建房屋建筑工程，应采用装配式技术建造；市政工程、公共设施、轨道交通、城市综合管廊等项目中采用装配式建筑方式比例达到50%以上。非财政投资房屋建筑工程（包括民用建筑和工业建筑）中规划总建筑面积为10万平方米（含）以上、单体（地下室单独报建除外）建筑面积2万平方米（含）以上新建项目和城市更新项目，应采用装配式技术建造；力争建成不少于2个装配式建筑示范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8" w:type="dxa"/>
            <w:vMerge w:val="restart"/>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3</w:t>
            </w:r>
          </w:p>
        </w:tc>
        <w:tc>
          <w:tcPr>
            <w:tcW w:w="1260" w:type="dxa"/>
            <w:vMerge w:val="restart"/>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建筑</w:t>
            </w:r>
          </w:p>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节能</w:t>
            </w: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到2025年末，城镇新建建筑能效水平提升15%。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8" w:type="dxa"/>
            <w:vMerge w:val="continue"/>
            <w:vAlign w:val="center"/>
          </w:tcPr>
          <w:p>
            <w:pPr>
              <w:spacing w:line="360" w:lineRule="auto"/>
              <w:jc w:val="center"/>
              <w:rPr>
                <w:rFonts w:ascii="Times New Roman" w:hAnsi="Times New Roman" w:eastAsia="宋体" w:cs="Times New Roman"/>
                <w:szCs w:val="21"/>
              </w:rPr>
            </w:pPr>
          </w:p>
        </w:tc>
        <w:tc>
          <w:tcPr>
            <w:tcW w:w="1260" w:type="dxa"/>
            <w:vMerge w:val="continue"/>
            <w:vAlign w:val="center"/>
          </w:tcPr>
          <w:p>
            <w:pPr>
              <w:spacing w:line="360" w:lineRule="auto"/>
              <w:jc w:val="center"/>
              <w:rPr>
                <w:rFonts w:ascii="Times New Roman" w:hAnsi="Times New Roman" w:eastAsia="宋体" w:cs="Times New Roman"/>
                <w:szCs w:val="21"/>
              </w:rPr>
            </w:pP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“十四五”期间，完成既有建筑节能和绿色化改造面积50万平方米以上。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8" w:type="dxa"/>
            <w:vMerge w:val="continue"/>
            <w:vAlign w:val="center"/>
          </w:tcPr>
          <w:p>
            <w:pPr>
              <w:spacing w:line="360" w:lineRule="auto"/>
              <w:jc w:val="center"/>
              <w:rPr>
                <w:rFonts w:ascii="Times New Roman" w:hAnsi="Times New Roman" w:eastAsia="宋体" w:cs="Times New Roman"/>
                <w:szCs w:val="21"/>
              </w:rPr>
            </w:pPr>
          </w:p>
        </w:tc>
        <w:tc>
          <w:tcPr>
            <w:tcW w:w="1260" w:type="dxa"/>
            <w:vMerge w:val="continue"/>
            <w:vAlign w:val="center"/>
          </w:tcPr>
          <w:p>
            <w:pPr>
              <w:spacing w:line="360" w:lineRule="auto"/>
              <w:jc w:val="center"/>
              <w:rPr>
                <w:rFonts w:ascii="Times New Roman" w:hAnsi="Times New Roman" w:eastAsia="宋体" w:cs="Times New Roman"/>
                <w:szCs w:val="21"/>
              </w:rPr>
            </w:pP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“十四五”期间，新增可再生能源应用面积20万平方米、太阳能光电建筑应用装机容量5兆瓦。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8" w:type="dxa"/>
            <w:vMerge w:val="restart"/>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4</w:t>
            </w:r>
          </w:p>
        </w:tc>
        <w:tc>
          <w:tcPr>
            <w:tcW w:w="1260" w:type="dxa"/>
            <w:vMerge w:val="restart"/>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散装水泥与绿色建材</w:t>
            </w: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到2025年末，散装水泥使用率≥75%，预拌混凝土企业绿色生产全面达标，新建预拌混凝土企业全部达到绿色生产水平。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8" w:type="dxa"/>
            <w:vMerge w:val="continue"/>
            <w:vAlign w:val="center"/>
          </w:tcPr>
          <w:p>
            <w:pPr>
              <w:spacing w:line="360" w:lineRule="auto"/>
              <w:jc w:val="center"/>
              <w:rPr>
                <w:rFonts w:ascii="Times New Roman" w:hAnsi="Times New Roman" w:eastAsia="宋体" w:cs="Times New Roman"/>
                <w:szCs w:val="21"/>
              </w:rPr>
            </w:pPr>
          </w:p>
        </w:tc>
        <w:tc>
          <w:tcPr>
            <w:tcW w:w="1260" w:type="dxa"/>
            <w:vMerge w:val="continue"/>
            <w:vAlign w:val="center"/>
          </w:tcPr>
          <w:p>
            <w:pPr>
              <w:spacing w:line="360" w:lineRule="auto"/>
              <w:jc w:val="center"/>
              <w:rPr>
                <w:rFonts w:ascii="Times New Roman" w:hAnsi="Times New Roman" w:eastAsia="宋体" w:cs="Times New Roman"/>
                <w:szCs w:val="21"/>
              </w:rPr>
            </w:pP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鼓励在绿色建筑、装配式建筑等政府投资项目中率先使用绿色建材，逐步提升城镇新建</w:t>
            </w:r>
            <w:r>
              <w:rPr>
                <w:rFonts w:hint="eastAsia" w:ascii="Times New Roman" w:hAnsi="Times New Roman" w:eastAsia="宋体" w:cs="Times New Roman"/>
                <w:szCs w:val="21"/>
              </w:rPr>
              <w:t>建筑</w:t>
            </w:r>
            <w:r>
              <w:rPr>
                <w:rFonts w:ascii="Times New Roman" w:hAnsi="Times New Roman" w:eastAsia="宋体" w:cs="Times New Roman"/>
                <w:szCs w:val="21"/>
              </w:rPr>
              <w:t>中绿色建材应用比例。</w:t>
            </w:r>
          </w:p>
        </w:tc>
      </w:tr>
    </w:tbl>
    <w:p>
      <w:pPr>
        <w:pStyle w:val="5"/>
        <w:spacing w:before="0" w:after="156" w:afterLines="50" w:line="360" w:lineRule="auto"/>
        <w:rPr>
          <w:rFonts w:ascii="Times New Roman" w:hAnsi="Times New Roman" w:cs="Times New Roman"/>
          <w:sz w:val="28"/>
          <w:szCs w:val="28"/>
        </w:rPr>
      </w:pPr>
      <w:bookmarkStart w:id="49" w:name="_Toc26983"/>
      <w:bookmarkStart w:id="50" w:name="_Toc27750"/>
      <w:bookmarkStart w:id="51" w:name="_Toc31219"/>
      <w:bookmarkStart w:id="52" w:name="_Toc31427_WPSOffice_Level2"/>
      <w:bookmarkStart w:id="53" w:name="_Toc30682"/>
      <w:r>
        <w:rPr>
          <w:rFonts w:ascii="Times New Roman" w:hAnsi="Times New Roman" w:cs="Times New Roman"/>
          <w:sz w:val="28"/>
          <w:szCs w:val="28"/>
        </w:rPr>
        <w:t>3.1.4 相关产业规模量化评估</w:t>
      </w:r>
      <w:bookmarkEnd w:id="49"/>
      <w:bookmarkEnd w:id="50"/>
      <w:bookmarkEnd w:id="51"/>
      <w:bookmarkEnd w:id="52"/>
      <w:bookmarkEnd w:id="53"/>
    </w:p>
    <w:p>
      <w:pPr>
        <w:pStyle w:val="2"/>
        <w:snapToGrid w:val="0"/>
        <w:spacing w:line="360" w:lineRule="auto"/>
        <w:ind w:firstLine="560" w:firstLineChars="200"/>
        <w:rPr>
          <w:rFonts w:hint="default" w:ascii="Times New Roman" w:hAnsi="Times New Roman" w:cs="Times New Roman"/>
          <w:sz w:val="28"/>
          <w:szCs w:val="28"/>
        </w:rPr>
      </w:pPr>
      <w:bookmarkStart w:id="54" w:name="_Toc5596"/>
      <w:r>
        <w:rPr>
          <w:rFonts w:ascii="Times New Roman" w:hAnsi="Times New Roman" w:cs="Times New Roman"/>
          <w:sz w:val="28"/>
          <w:szCs w:val="28"/>
        </w:rPr>
        <w:t>1、绿色建筑规模</w:t>
      </w:r>
      <w:bookmarkEnd w:id="54"/>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ascii="Times New Roman" w:hAnsi="Times New Roman" w:cs="Times New Roman"/>
          <w:sz w:val="28"/>
          <w:szCs w:val="28"/>
        </w:rPr>
        <w:t>根据《韶关市绿色建筑发展“十四五”规划》（初步成果）制定的目标要求：新建民用建筑全面按照绿色建筑标准进行建设：到2022年，城镇新建民用建筑中绿色建筑面积占比达到80%以上；到2023年，全面实现按照绿色建筑建设。韶关市2021年新</w:t>
      </w:r>
      <w:r>
        <w:rPr>
          <w:rFonts w:ascii="Times New Roman" w:hAnsi="Times New Roman" w:cs="Times New Roman" w:eastAsiaTheme="minorEastAsia"/>
          <w:sz w:val="28"/>
          <w:szCs w:val="28"/>
        </w:rPr>
        <w:t>开工房屋建筑面积为518.52万m²，新增绿色建筑面积为499万平方米，绿色建筑占新增民用建筑面积比例达到96%。假设2022~2025年期间，新开工面积年均增长3%，2022年绿色建筑面积占比不低于2021年，可预测得到2022~2025年期间内韶关市绿色建筑面积，如下表所示：</w:t>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表3.1-2 韶关市2017 ~2020年建筑业</w:t>
      </w:r>
      <w:r>
        <w:rPr>
          <w:rFonts w:cs="Times New Roman"/>
        </w:rPr>
        <w:t>企业</w:t>
      </w:r>
      <w:r>
        <w:rPr>
          <w:rFonts w:eastAsia="宋体" w:cs="Times New Roman"/>
          <w:szCs w:val="21"/>
        </w:rPr>
        <w:t>房屋建筑施工新开工面积</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0000"/>
        <w:tblLayout w:type="fixed"/>
        <w:tblCellMar>
          <w:top w:w="0" w:type="dxa"/>
          <w:left w:w="108" w:type="dxa"/>
          <w:bottom w:w="0" w:type="dxa"/>
          <w:right w:w="108" w:type="dxa"/>
        </w:tblCellMar>
      </w:tblPr>
      <w:tblGrid>
        <w:gridCol w:w="2523"/>
        <w:gridCol w:w="1454"/>
        <w:gridCol w:w="1248"/>
        <w:gridCol w:w="1084"/>
        <w:gridCol w:w="1107"/>
        <w:gridCol w:w="11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0000"/>
          <w:tblCellMar>
            <w:top w:w="0" w:type="dxa"/>
            <w:left w:w="108" w:type="dxa"/>
            <w:bottom w:w="0" w:type="dxa"/>
            <w:right w:w="108" w:type="dxa"/>
          </w:tblCellMar>
        </w:tblPrEx>
        <w:trPr>
          <w:trHeight w:val="576" w:hRule="atLeast"/>
          <w:jc w:val="center"/>
        </w:trPr>
        <w:tc>
          <w:tcPr>
            <w:tcW w:w="1480" w:type="pct"/>
            <w:shd w:val="clear" w:color="auto" w:fill="FFFFFF" w:themeFill="background1"/>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年份</w:t>
            </w:r>
          </w:p>
        </w:tc>
        <w:tc>
          <w:tcPr>
            <w:tcW w:w="853" w:type="pct"/>
            <w:shd w:val="clear" w:color="auto" w:fill="FFFFFF" w:themeFill="background1"/>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2017</w:t>
            </w:r>
          </w:p>
        </w:tc>
        <w:tc>
          <w:tcPr>
            <w:tcW w:w="732" w:type="pct"/>
            <w:shd w:val="clear" w:color="auto" w:fill="FFFFFF" w:themeFill="background1"/>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2018</w:t>
            </w:r>
          </w:p>
        </w:tc>
        <w:tc>
          <w:tcPr>
            <w:tcW w:w="636" w:type="pct"/>
            <w:shd w:val="clear" w:color="auto" w:fill="FFFFFF" w:themeFill="background1"/>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2019</w:t>
            </w:r>
          </w:p>
        </w:tc>
        <w:tc>
          <w:tcPr>
            <w:tcW w:w="650" w:type="pct"/>
            <w:shd w:val="clear" w:color="auto" w:fill="FFFFFF" w:themeFill="background1"/>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2020</w:t>
            </w:r>
          </w:p>
        </w:tc>
        <w:tc>
          <w:tcPr>
            <w:tcW w:w="650" w:type="pct"/>
            <w:shd w:val="clear" w:color="auto" w:fill="FFFFFF" w:themeFill="background1"/>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0000"/>
          <w:tblCellMar>
            <w:top w:w="0" w:type="dxa"/>
            <w:left w:w="108" w:type="dxa"/>
            <w:bottom w:w="0" w:type="dxa"/>
            <w:right w:w="108" w:type="dxa"/>
          </w:tblCellMar>
        </w:tblPrEx>
        <w:trPr>
          <w:trHeight w:val="439" w:hRule="atLeast"/>
          <w:jc w:val="center"/>
        </w:trPr>
        <w:tc>
          <w:tcPr>
            <w:tcW w:w="1480" w:type="pct"/>
            <w:shd w:val="clear" w:color="auto" w:fill="FFFFFF" w:themeFill="background1"/>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新开工面积（万m</w:t>
            </w:r>
            <w:r>
              <w:rPr>
                <w:rFonts w:ascii="Times New Roman" w:hAnsi="Times New Roman" w:eastAsia="宋体" w:cs="Times New Roman"/>
                <w:szCs w:val="21"/>
                <w:vertAlign w:val="superscript"/>
              </w:rPr>
              <w:t>2</w:t>
            </w:r>
            <w:r>
              <w:rPr>
                <w:rFonts w:ascii="Times New Roman" w:hAnsi="Times New Roman" w:eastAsia="宋体" w:cs="Times New Roman"/>
                <w:szCs w:val="21"/>
              </w:rPr>
              <w:t>）</w:t>
            </w:r>
          </w:p>
        </w:tc>
        <w:tc>
          <w:tcPr>
            <w:tcW w:w="853" w:type="pct"/>
            <w:shd w:val="clear" w:color="auto" w:fill="FFFFFF" w:themeFill="background1"/>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762.05</w:t>
            </w:r>
          </w:p>
        </w:tc>
        <w:tc>
          <w:tcPr>
            <w:tcW w:w="732" w:type="pct"/>
            <w:shd w:val="clear" w:color="auto" w:fill="FFFFFF" w:themeFill="background1"/>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667.34</w:t>
            </w:r>
          </w:p>
        </w:tc>
        <w:tc>
          <w:tcPr>
            <w:tcW w:w="636" w:type="pct"/>
            <w:shd w:val="clear" w:color="auto" w:fill="FFFFFF" w:themeFill="background1"/>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668.07</w:t>
            </w:r>
          </w:p>
        </w:tc>
        <w:tc>
          <w:tcPr>
            <w:tcW w:w="650" w:type="pct"/>
            <w:shd w:val="clear" w:color="auto" w:fill="FFFFFF" w:themeFill="background1"/>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915.38</w:t>
            </w:r>
          </w:p>
        </w:tc>
        <w:tc>
          <w:tcPr>
            <w:tcW w:w="650" w:type="pct"/>
            <w:shd w:val="clear" w:color="auto" w:fill="FFFFFF" w:themeFill="background1"/>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518.52</w:t>
            </w:r>
          </w:p>
        </w:tc>
      </w:tr>
    </w:tbl>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表3.1-3 韶关市绿色建筑</w:t>
      </w:r>
      <w:r>
        <w:rPr>
          <w:rFonts w:cs="Times New Roman"/>
        </w:rPr>
        <w:t>“十四五”</w:t>
      </w:r>
      <w:r>
        <w:rPr>
          <w:rFonts w:eastAsia="宋体" w:cs="Times New Roman"/>
          <w:szCs w:val="21"/>
        </w:rPr>
        <w:t>绿色建筑面积</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17"/>
        <w:gridCol w:w="2115"/>
        <w:gridCol w:w="2113"/>
        <w:gridCol w:w="21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atLeast"/>
        </w:trPr>
        <w:tc>
          <w:tcPr>
            <w:tcW w:w="1242" w:type="pct"/>
            <w:vAlign w:val="center"/>
          </w:tcPr>
          <w:p>
            <w:pPr>
              <w:pStyle w:val="26"/>
              <w:spacing w:after="0" w:line="240" w:lineRule="auto"/>
              <w:ind w:left="0" w:leftChars="0"/>
              <w:jc w:val="center"/>
              <w:rPr>
                <w:rFonts w:cs="Times New Roman"/>
                <w:szCs w:val="21"/>
              </w:rPr>
            </w:pPr>
            <w:r>
              <w:rPr>
                <w:rFonts w:hint="eastAsia" w:cs="Times New Roman"/>
                <w:szCs w:val="21"/>
              </w:rPr>
              <w:t>年份</w:t>
            </w:r>
          </w:p>
        </w:tc>
        <w:tc>
          <w:tcPr>
            <w:tcW w:w="1241" w:type="pct"/>
            <w:vAlign w:val="center"/>
          </w:tcPr>
          <w:p>
            <w:pPr>
              <w:pStyle w:val="26"/>
              <w:spacing w:after="0" w:line="240" w:lineRule="auto"/>
              <w:ind w:left="0" w:leftChars="0"/>
              <w:jc w:val="center"/>
              <w:rPr>
                <w:rFonts w:cs="Times New Roman"/>
                <w:szCs w:val="21"/>
              </w:rPr>
            </w:pPr>
            <w:r>
              <w:rPr>
                <w:rFonts w:hint="eastAsia" w:cs="Times New Roman"/>
                <w:szCs w:val="21"/>
              </w:rPr>
              <w:t>新开工面积</w:t>
            </w:r>
          </w:p>
          <w:p>
            <w:pPr>
              <w:pStyle w:val="26"/>
              <w:spacing w:after="0" w:line="240" w:lineRule="auto"/>
              <w:ind w:left="0" w:leftChars="0"/>
              <w:jc w:val="center"/>
              <w:rPr>
                <w:rFonts w:cs="Times New Roman"/>
                <w:szCs w:val="21"/>
              </w:rPr>
            </w:pPr>
            <w:r>
              <w:rPr>
                <w:rFonts w:hint="eastAsia" w:cs="Times New Roman"/>
                <w:szCs w:val="21"/>
              </w:rPr>
              <w:t>（万</w:t>
            </w:r>
            <w:r>
              <w:rPr>
                <w:rFonts w:cs="Times New Roman"/>
                <w:szCs w:val="21"/>
              </w:rPr>
              <w:t>m2</w:t>
            </w:r>
            <w:r>
              <w:rPr>
                <w:rFonts w:hint="eastAsia" w:cs="Times New Roman"/>
                <w:szCs w:val="21"/>
              </w:rPr>
              <w:t>）</w:t>
            </w:r>
          </w:p>
        </w:tc>
        <w:tc>
          <w:tcPr>
            <w:tcW w:w="1240" w:type="pct"/>
            <w:vAlign w:val="center"/>
          </w:tcPr>
          <w:p>
            <w:pPr>
              <w:pStyle w:val="26"/>
              <w:spacing w:after="0" w:line="240" w:lineRule="auto"/>
              <w:ind w:left="0" w:leftChars="0"/>
              <w:jc w:val="center"/>
              <w:rPr>
                <w:rFonts w:cs="Times New Roman"/>
                <w:szCs w:val="21"/>
              </w:rPr>
            </w:pPr>
            <w:r>
              <w:rPr>
                <w:rFonts w:hint="eastAsia" w:cs="Times New Roman"/>
                <w:szCs w:val="21"/>
              </w:rPr>
              <w:t>绿色建筑面积占比</w:t>
            </w:r>
          </w:p>
        </w:tc>
        <w:tc>
          <w:tcPr>
            <w:tcW w:w="1277" w:type="pct"/>
            <w:vAlign w:val="center"/>
          </w:tcPr>
          <w:p>
            <w:pPr>
              <w:pStyle w:val="26"/>
              <w:spacing w:after="0" w:line="240" w:lineRule="auto"/>
              <w:ind w:left="0" w:leftChars="0"/>
              <w:jc w:val="center"/>
              <w:rPr>
                <w:rFonts w:cs="Times New Roman"/>
                <w:szCs w:val="21"/>
              </w:rPr>
            </w:pPr>
            <w:r>
              <w:rPr>
                <w:rFonts w:hint="eastAsia" w:cs="Times New Roman"/>
                <w:szCs w:val="21"/>
              </w:rPr>
              <w:t>绿色建筑总面积（万</w:t>
            </w:r>
            <w:r>
              <w:rPr>
                <w:rFonts w:cs="Times New Roman"/>
                <w:szCs w:val="21"/>
              </w:rPr>
              <w:t>m2</w:t>
            </w:r>
            <w:r>
              <w:rPr>
                <w:rFonts w:hint="eastAsia"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pct"/>
            <w:vAlign w:val="center"/>
          </w:tcPr>
          <w:p>
            <w:pPr>
              <w:pStyle w:val="26"/>
              <w:spacing w:before="93" w:beforeLines="30" w:after="93" w:afterLines="30" w:line="312" w:lineRule="auto"/>
              <w:ind w:left="0" w:leftChars="0"/>
              <w:jc w:val="center"/>
              <w:rPr>
                <w:rFonts w:cs="Times New Roman"/>
                <w:szCs w:val="21"/>
              </w:rPr>
            </w:pPr>
            <w:r>
              <w:rPr>
                <w:rFonts w:hint="eastAsia" w:cs="Times New Roman"/>
                <w:szCs w:val="21"/>
              </w:rPr>
              <w:t>2</w:t>
            </w:r>
            <w:r>
              <w:rPr>
                <w:rFonts w:cs="Times New Roman"/>
                <w:szCs w:val="21"/>
              </w:rPr>
              <w:t>021</w:t>
            </w:r>
          </w:p>
        </w:tc>
        <w:tc>
          <w:tcPr>
            <w:tcW w:w="1241" w:type="pct"/>
            <w:vAlign w:val="center"/>
          </w:tcPr>
          <w:p>
            <w:pPr>
              <w:pStyle w:val="26"/>
              <w:spacing w:before="93" w:beforeLines="30" w:after="93" w:afterLines="30" w:line="312" w:lineRule="auto"/>
              <w:ind w:left="0" w:leftChars="0"/>
              <w:jc w:val="center"/>
              <w:rPr>
                <w:rFonts w:cs="Times New Roman"/>
                <w:szCs w:val="21"/>
              </w:rPr>
            </w:pPr>
            <w:r>
              <w:rPr>
                <w:rFonts w:cs="Times New Roman"/>
                <w:szCs w:val="21"/>
              </w:rPr>
              <w:t>518.52</w:t>
            </w:r>
          </w:p>
        </w:tc>
        <w:tc>
          <w:tcPr>
            <w:tcW w:w="1240" w:type="pct"/>
          </w:tcPr>
          <w:p>
            <w:pPr>
              <w:pStyle w:val="26"/>
              <w:spacing w:before="93" w:beforeLines="30" w:after="93" w:afterLines="30" w:line="312" w:lineRule="auto"/>
              <w:ind w:left="0" w:leftChars="0"/>
              <w:jc w:val="center"/>
              <w:rPr>
                <w:rFonts w:cs="Times New Roman"/>
                <w:szCs w:val="21"/>
              </w:rPr>
            </w:pPr>
            <w:r>
              <w:t>96%</w:t>
            </w:r>
          </w:p>
        </w:tc>
        <w:tc>
          <w:tcPr>
            <w:tcW w:w="1277" w:type="pct"/>
          </w:tcPr>
          <w:p>
            <w:pPr>
              <w:pStyle w:val="26"/>
              <w:spacing w:before="93" w:beforeLines="30" w:after="93" w:afterLines="30" w:line="312" w:lineRule="auto"/>
              <w:ind w:left="0" w:leftChars="0"/>
              <w:jc w:val="center"/>
              <w:rPr>
                <w:rFonts w:cs="Times New Roman"/>
                <w:szCs w:val="21"/>
              </w:rPr>
            </w:pPr>
            <w:r>
              <w:t xml:space="preserve">499.00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pct"/>
            <w:vAlign w:val="center"/>
          </w:tcPr>
          <w:p>
            <w:pPr>
              <w:pStyle w:val="26"/>
              <w:spacing w:before="93" w:beforeLines="30" w:after="93" w:afterLines="30" w:line="312" w:lineRule="auto"/>
              <w:ind w:left="0" w:leftChars="0"/>
              <w:jc w:val="center"/>
              <w:rPr>
                <w:rFonts w:cs="Times New Roman"/>
                <w:szCs w:val="21"/>
              </w:rPr>
            </w:pPr>
            <w:r>
              <w:rPr>
                <w:rFonts w:cs="Times New Roman"/>
                <w:kern w:val="0"/>
                <w:szCs w:val="21"/>
              </w:rPr>
              <w:t>2022</w:t>
            </w:r>
          </w:p>
        </w:tc>
        <w:tc>
          <w:tcPr>
            <w:tcW w:w="1241" w:type="pct"/>
          </w:tcPr>
          <w:p>
            <w:pPr>
              <w:pStyle w:val="26"/>
              <w:spacing w:before="93" w:beforeLines="30" w:after="93" w:afterLines="30" w:line="312" w:lineRule="auto"/>
              <w:ind w:left="0" w:leftChars="0"/>
              <w:jc w:val="center"/>
              <w:rPr>
                <w:rFonts w:cs="Times New Roman"/>
                <w:szCs w:val="21"/>
              </w:rPr>
            </w:pPr>
            <w:r>
              <w:t xml:space="preserve">534.08 </w:t>
            </w:r>
          </w:p>
        </w:tc>
        <w:tc>
          <w:tcPr>
            <w:tcW w:w="1240" w:type="pct"/>
          </w:tcPr>
          <w:p>
            <w:pPr>
              <w:pStyle w:val="26"/>
              <w:spacing w:before="93" w:beforeLines="30" w:after="93" w:afterLines="30" w:line="312" w:lineRule="auto"/>
              <w:ind w:left="0" w:leftChars="0"/>
              <w:jc w:val="center"/>
              <w:rPr>
                <w:rFonts w:cs="Times New Roman"/>
                <w:szCs w:val="21"/>
              </w:rPr>
            </w:pPr>
            <w:r>
              <w:t>96%</w:t>
            </w:r>
          </w:p>
        </w:tc>
        <w:tc>
          <w:tcPr>
            <w:tcW w:w="1277" w:type="pct"/>
          </w:tcPr>
          <w:p>
            <w:pPr>
              <w:pStyle w:val="26"/>
              <w:spacing w:before="93" w:beforeLines="30" w:after="93" w:afterLines="30" w:line="312" w:lineRule="auto"/>
              <w:ind w:left="0" w:leftChars="0"/>
              <w:jc w:val="center"/>
              <w:rPr>
                <w:rFonts w:cs="Times New Roman"/>
                <w:szCs w:val="21"/>
              </w:rPr>
            </w:pPr>
            <w:r>
              <w:t xml:space="preserve">427.26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pct"/>
            <w:vAlign w:val="center"/>
          </w:tcPr>
          <w:p>
            <w:pPr>
              <w:pStyle w:val="26"/>
              <w:spacing w:before="93" w:beforeLines="30" w:after="93" w:afterLines="30" w:line="312" w:lineRule="auto"/>
              <w:ind w:left="0" w:leftChars="0"/>
              <w:jc w:val="center"/>
              <w:rPr>
                <w:rFonts w:cs="Times New Roman"/>
                <w:szCs w:val="21"/>
              </w:rPr>
            </w:pPr>
            <w:r>
              <w:rPr>
                <w:rFonts w:cs="Times New Roman"/>
                <w:kern w:val="0"/>
                <w:szCs w:val="21"/>
              </w:rPr>
              <w:t>2023</w:t>
            </w:r>
          </w:p>
        </w:tc>
        <w:tc>
          <w:tcPr>
            <w:tcW w:w="1241" w:type="pct"/>
          </w:tcPr>
          <w:p>
            <w:pPr>
              <w:pStyle w:val="26"/>
              <w:spacing w:before="93" w:beforeLines="30" w:after="93" w:afterLines="30" w:line="312" w:lineRule="auto"/>
              <w:ind w:left="0" w:leftChars="0"/>
              <w:jc w:val="center"/>
              <w:rPr>
                <w:rFonts w:cs="Times New Roman"/>
                <w:szCs w:val="21"/>
              </w:rPr>
            </w:pPr>
            <w:r>
              <w:t xml:space="preserve">550.10 </w:t>
            </w:r>
          </w:p>
        </w:tc>
        <w:tc>
          <w:tcPr>
            <w:tcW w:w="1240" w:type="pct"/>
          </w:tcPr>
          <w:p>
            <w:pPr>
              <w:pStyle w:val="26"/>
              <w:spacing w:before="93" w:beforeLines="30" w:after="93" w:afterLines="30" w:line="312" w:lineRule="auto"/>
              <w:ind w:left="0" w:leftChars="0"/>
              <w:jc w:val="center"/>
              <w:rPr>
                <w:rFonts w:cs="Times New Roman"/>
                <w:szCs w:val="21"/>
              </w:rPr>
            </w:pPr>
            <w:r>
              <w:t>100%</w:t>
            </w:r>
          </w:p>
        </w:tc>
        <w:tc>
          <w:tcPr>
            <w:tcW w:w="1277" w:type="pct"/>
          </w:tcPr>
          <w:p>
            <w:pPr>
              <w:pStyle w:val="26"/>
              <w:spacing w:before="93" w:beforeLines="30" w:after="93" w:afterLines="30" w:line="312" w:lineRule="auto"/>
              <w:ind w:left="0" w:leftChars="0"/>
              <w:jc w:val="center"/>
              <w:rPr>
                <w:rFonts w:cs="Times New Roman"/>
                <w:szCs w:val="21"/>
              </w:rPr>
            </w:pPr>
            <w:r>
              <w:t xml:space="preserve">440.08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pct"/>
            <w:vAlign w:val="center"/>
          </w:tcPr>
          <w:p>
            <w:pPr>
              <w:pStyle w:val="26"/>
              <w:spacing w:before="93" w:beforeLines="30" w:after="93" w:afterLines="30" w:line="312" w:lineRule="auto"/>
              <w:ind w:left="0" w:leftChars="0"/>
              <w:jc w:val="center"/>
              <w:rPr>
                <w:rFonts w:cs="Times New Roman"/>
                <w:szCs w:val="21"/>
              </w:rPr>
            </w:pPr>
            <w:r>
              <w:rPr>
                <w:rFonts w:cs="Times New Roman"/>
                <w:kern w:val="0"/>
                <w:szCs w:val="21"/>
              </w:rPr>
              <w:t>2024</w:t>
            </w:r>
          </w:p>
        </w:tc>
        <w:tc>
          <w:tcPr>
            <w:tcW w:w="1241" w:type="pct"/>
          </w:tcPr>
          <w:p>
            <w:pPr>
              <w:pStyle w:val="26"/>
              <w:spacing w:before="93" w:beforeLines="30" w:after="93" w:afterLines="30" w:line="312" w:lineRule="auto"/>
              <w:ind w:left="0" w:leftChars="0"/>
              <w:jc w:val="center"/>
              <w:rPr>
                <w:rFonts w:cs="Times New Roman"/>
                <w:szCs w:val="21"/>
              </w:rPr>
            </w:pPr>
            <w:r>
              <w:t xml:space="preserve">566.60 </w:t>
            </w:r>
          </w:p>
        </w:tc>
        <w:tc>
          <w:tcPr>
            <w:tcW w:w="1240" w:type="pct"/>
          </w:tcPr>
          <w:p>
            <w:pPr>
              <w:pStyle w:val="26"/>
              <w:spacing w:before="93" w:beforeLines="30" w:after="93" w:afterLines="30" w:line="312" w:lineRule="auto"/>
              <w:ind w:left="0" w:leftChars="0"/>
              <w:jc w:val="center"/>
              <w:rPr>
                <w:rFonts w:cs="Times New Roman"/>
                <w:szCs w:val="21"/>
              </w:rPr>
            </w:pPr>
            <w:r>
              <w:t>100%</w:t>
            </w:r>
          </w:p>
        </w:tc>
        <w:tc>
          <w:tcPr>
            <w:tcW w:w="1277" w:type="pct"/>
          </w:tcPr>
          <w:p>
            <w:pPr>
              <w:pStyle w:val="26"/>
              <w:spacing w:before="93" w:beforeLines="30" w:after="93" w:afterLines="30" w:line="312" w:lineRule="auto"/>
              <w:ind w:left="0" w:leftChars="0"/>
              <w:jc w:val="center"/>
              <w:rPr>
                <w:rFonts w:cs="Times New Roman"/>
                <w:szCs w:val="21"/>
              </w:rPr>
            </w:pPr>
            <w:r>
              <w:t xml:space="preserve">453.28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pct"/>
            <w:vAlign w:val="center"/>
          </w:tcPr>
          <w:p>
            <w:pPr>
              <w:pStyle w:val="26"/>
              <w:spacing w:before="93" w:beforeLines="30" w:after="93" w:afterLines="30" w:line="312" w:lineRule="auto"/>
              <w:ind w:left="0" w:leftChars="0"/>
              <w:jc w:val="center"/>
              <w:rPr>
                <w:rFonts w:cs="Times New Roman"/>
                <w:szCs w:val="21"/>
              </w:rPr>
            </w:pPr>
            <w:r>
              <w:rPr>
                <w:rFonts w:cs="Times New Roman"/>
                <w:kern w:val="0"/>
                <w:szCs w:val="21"/>
              </w:rPr>
              <w:t>2025</w:t>
            </w:r>
          </w:p>
        </w:tc>
        <w:tc>
          <w:tcPr>
            <w:tcW w:w="1241" w:type="pct"/>
          </w:tcPr>
          <w:p>
            <w:pPr>
              <w:pStyle w:val="26"/>
              <w:spacing w:before="93" w:beforeLines="30" w:after="93" w:afterLines="30" w:line="312" w:lineRule="auto"/>
              <w:ind w:left="0" w:leftChars="0"/>
              <w:jc w:val="center"/>
              <w:rPr>
                <w:rFonts w:cs="Times New Roman"/>
                <w:szCs w:val="21"/>
              </w:rPr>
            </w:pPr>
            <w:r>
              <w:t xml:space="preserve">583.60 </w:t>
            </w:r>
          </w:p>
        </w:tc>
        <w:tc>
          <w:tcPr>
            <w:tcW w:w="1240" w:type="pct"/>
          </w:tcPr>
          <w:p>
            <w:pPr>
              <w:pStyle w:val="26"/>
              <w:spacing w:before="93" w:beforeLines="30" w:after="93" w:afterLines="30" w:line="312" w:lineRule="auto"/>
              <w:ind w:left="0" w:leftChars="0"/>
              <w:jc w:val="center"/>
              <w:rPr>
                <w:rFonts w:cs="Times New Roman"/>
                <w:szCs w:val="21"/>
              </w:rPr>
            </w:pPr>
            <w:r>
              <w:t>100%</w:t>
            </w:r>
          </w:p>
        </w:tc>
        <w:tc>
          <w:tcPr>
            <w:tcW w:w="1277" w:type="pct"/>
          </w:tcPr>
          <w:p>
            <w:pPr>
              <w:pStyle w:val="26"/>
              <w:spacing w:before="93" w:beforeLines="30" w:after="93" w:afterLines="30" w:line="312" w:lineRule="auto"/>
              <w:ind w:left="0" w:leftChars="0"/>
              <w:jc w:val="center"/>
              <w:rPr>
                <w:rFonts w:cs="Times New Roman"/>
                <w:szCs w:val="21"/>
              </w:rPr>
            </w:pPr>
            <w:r>
              <w:t xml:space="preserve">466.88 </w:t>
            </w:r>
          </w:p>
        </w:tc>
      </w:tr>
    </w:tbl>
    <w:p>
      <w:pPr>
        <w:pStyle w:val="2"/>
        <w:spacing w:line="360" w:lineRule="auto"/>
        <w:ind w:firstLine="560" w:firstLineChars="200"/>
        <w:rPr>
          <w:rFonts w:hint="default" w:ascii="Times New Roman" w:hAnsi="Times New Roman" w:cs="Times New Roman"/>
          <w:sz w:val="28"/>
          <w:szCs w:val="28"/>
        </w:rPr>
      </w:pPr>
    </w:p>
    <w:p>
      <w:pPr>
        <w:pStyle w:val="2"/>
        <w:snapToGrid w:val="0"/>
        <w:spacing w:line="360" w:lineRule="auto"/>
        <w:ind w:firstLine="560" w:firstLineChars="200"/>
        <w:rPr>
          <w:rFonts w:hint="default" w:ascii="Times New Roman" w:hAnsi="Times New Roman" w:cs="Times New Roman" w:eastAsiaTheme="minorEastAsia"/>
          <w:sz w:val="28"/>
          <w:szCs w:val="28"/>
        </w:rPr>
      </w:pPr>
      <w:bookmarkStart w:id="55" w:name="_Toc24688"/>
      <w:r>
        <w:rPr>
          <w:rFonts w:ascii="Times New Roman" w:hAnsi="Times New Roman" w:cs="Times New Roman" w:eastAsiaTheme="minorEastAsia"/>
          <w:sz w:val="28"/>
          <w:szCs w:val="28"/>
        </w:rPr>
        <w:t>2、绿色建材使用量</w:t>
      </w:r>
      <w:bookmarkEnd w:id="55"/>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ascii="Times New Roman" w:hAnsi="Times New Roman" w:cs="Times New Roman" w:eastAsiaTheme="minorEastAsia"/>
          <w:sz w:val="28"/>
          <w:szCs w:val="28"/>
        </w:rPr>
        <w:t>根据《韶关市绿色建筑发展“十四五”规划》制定的目标要求：到2025年末，散装水泥使用率≥75%，预拌混凝土企业绿色生产全面达标，新建预拌混凝土企业全部达到绿色生产二星级水平。鼓励在绿色建筑、装配式建筑等政府投资项目中率先使用绿色建材，逐步提升城镇新建建筑中绿色建材应用比例。</w:t>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表3.1-4 韶关市十三五期间</w:t>
      </w:r>
      <w:r>
        <w:rPr>
          <w:rFonts w:cs="Times New Roman"/>
        </w:rPr>
        <w:t>散装</w:t>
      </w:r>
      <w:r>
        <w:rPr>
          <w:rFonts w:eastAsia="宋体" w:cs="Times New Roman"/>
          <w:szCs w:val="21"/>
        </w:rPr>
        <w:t>水泥、预拌混凝土、砂浆使用量</w:t>
      </w:r>
    </w:p>
    <w:tbl>
      <w:tblPr>
        <w:tblStyle w:val="19"/>
        <w:tblW w:w="85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5"/>
        <w:gridCol w:w="2695"/>
        <w:gridCol w:w="2433"/>
        <w:gridCol w:w="20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5" w:type="dxa"/>
            <w:vAlign w:val="center"/>
          </w:tcPr>
          <w:p>
            <w:pPr>
              <w:spacing w:line="360" w:lineRule="auto"/>
              <w:ind w:firstLine="210" w:firstLineChars="100"/>
              <w:jc w:val="center"/>
              <w:rPr>
                <w:rFonts w:ascii="Times New Roman" w:hAnsi="Times New Roman" w:cs="Times New Roman"/>
                <w:szCs w:val="21"/>
              </w:rPr>
            </w:pPr>
            <w:r>
              <w:rPr>
                <w:rFonts w:ascii="Times New Roman" w:hAnsi="Times New Roman" w:cs="Times New Roman"/>
                <w:szCs w:val="21"/>
              </w:rPr>
              <w:t>年份</w:t>
            </w:r>
          </w:p>
        </w:tc>
        <w:tc>
          <w:tcPr>
            <w:tcW w:w="269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散装水泥供应量</w:t>
            </w:r>
          </w:p>
          <w:p>
            <w:pPr>
              <w:spacing w:line="360" w:lineRule="auto"/>
              <w:jc w:val="center"/>
              <w:rPr>
                <w:rFonts w:ascii="Times New Roman" w:hAnsi="Times New Roman" w:cs="Times New Roman"/>
                <w:szCs w:val="21"/>
              </w:rPr>
            </w:pPr>
            <w:r>
              <w:rPr>
                <w:rFonts w:ascii="Times New Roman" w:hAnsi="Times New Roman" w:cs="Times New Roman"/>
                <w:szCs w:val="21"/>
              </w:rPr>
              <w:t>（万吨）</w:t>
            </w:r>
          </w:p>
        </w:tc>
        <w:tc>
          <w:tcPr>
            <w:tcW w:w="2433"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预拌混凝土使用量</w:t>
            </w:r>
          </w:p>
          <w:p>
            <w:pPr>
              <w:spacing w:line="360" w:lineRule="auto"/>
              <w:jc w:val="center"/>
              <w:rPr>
                <w:rFonts w:ascii="Times New Roman" w:hAnsi="Times New Roman" w:cs="Times New Roman"/>
                <w:szCs w:val="21"/>
              </w:rPr>
            </w:pPr>
            <w:r>
              <w:rPr>
                <w:rFonts w:ascii="Times New Roman" w:hAnsi="Times New Roman" w:cs="Times New Roman"/>
                <w:szCs w:val="21"/>
              </w:rPr>
              <w:t>（万立方米）</w:t>
            </w:r>
          </w:p>
        </w:tc>
        <w:tc>
          <w:tcPr>
            <w:tcW w:w="2031" w:type="dxa"/>
            <w:vAlign w:val="center"/>
          </w:tcPr>
          <w:p>
            <w:pPr>
              <w:spacing w:line="360" w:lineRule="auto"/>
              <w:rPr>
                <w:rFonts w:ascii="Times New Roman" w:hAnsi="Times New Roman" w:cs="Times New Roman"/>
                <w:szCs w:val="21"/>
              </w:rPr>
            </w:pPr>
            <w:r>
              <w:rPr>
                <w:rFonts w:ascii="Times New Roman" w:hAnsi="Times New Roman" w:cs="Times New Roman"/>
                <w:szCs w:val="21"/>
              </w:rPr>
              <w:t>预拌砂浆使用量</w:t>
            </w:r>
          </w:p>
          <w:p>
            <w:pPr>
              <w:spacing w:line="360" w:lineRule="auto"/>
              <w:jc w:val="center"/>
              <w:rPr>
                <w:rFonts w:ascii="Times New Roman" w:hAnsi="Times New Roman" w:cs="Times New Roman"/>
                <w:szCs w:val="21"/>
              </w:rPr>
            </w:pPr>
            <w:r>
              <w:rPr>
                <w:rFonts w:ascii="Times New Roman" w:hAnsi="Times New Roman" w:cs="Times New Roman"/>
                <w:szCs w:val="21"/>
              </w:rPr>
              <w:t>（万吨）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2016年</w:t>
            </w:r>
          </w:p>
        </w:tc>
        <w:tc>
          <w:tcPr>
            <w:tcW w:w="269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470.58</w:t>
            </w:r>
          </w:p>
        </w:tc>
        <w:tc>
          <w:tcPr>
            <w:tcW w:w="2433"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357.94</w:t>
            </w:r>
          </w:p>
        </w:tc>
        <w:tc>
          <w:tcPr>
            <w:tcW w:w="2031"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6.61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2017年</w:t>
            </w:r>
          </w:p>
        </w:tc>
        <w:tc>
          <w:tcPr>
            <w:tcW w:w="269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414</w:t>
            </w:r>
          </w:p>
        </w:tc>
        <w:tc>
          <w:tcPr>
            <w:tcW w:w="2433"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445.23</w:t>
            </w:r>
          </w:p>
        </w:tc>
        <w:tc>
          <w:tcPr>
            <w:tcW w:w="2031"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10.55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2018年</w:t>
            </w:r>
          </w:p>
        </w:tc>
        <w:tc>
          <w:tcPr>
            <w:tcW w:w="269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538.77</w:t>
            </w:r>
          </w:p>
        </w:tc>
        <w:tc>
          <w:tcPr>
            <w:tcW w:w="2433"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486.67</w:t>
            </w:r>
          </w:p>
        </w:tc>
        <w:tc>
          <w:tcPr>
            <w:tcW w:w="2031"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16.35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2019年</w:t>
            </w:r>
          </w:p>
        </w:tc>
        <w:tc>
          <w:tcPr>
            <w:tcW w:w="269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539.04</w:t>
            </w:r>
          </w:p>
        </w:tc>
        <w:tc>
          <w:tcPr>
            <w:tcW w:w="2433"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521.55</w:t>
            </w:r>
          </w:p>
        </w:tc>
        <w:tc>
          <w:tcPr>
            <w:tcW w:w="2031"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19.62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2020年</w:t>
            </w:r>
          </w:p>
        </w:tc>
        <w:tc>
          <w:tcPr>
            <w:tcW w:w="2695"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542</w:t>
            </w:r>
          </w:p>
        </w:tc>
        <w:tc>
          <w:tcPr>
            <w:tcW w:w="2433"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553</w:t>
            </w:r>
          </w:p>
        </w:tc>
        <w:tc>
          <w:tcPr>
            <w:tcW w:w="2031"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18.42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5" w:type="dxa"/>
            <w:vAlign w:val="center"/>
          </w:tcPr>
          <w:p>
            <w:pPr>
              <w:spacing w:line="360" w:lineRule="auto"/>
              <w:ind w:firstLine="210" w:firstLineChars="100"/>
              <w:jc w:val="center"/>
              <w:rPr>
                <w:rFonts w:ascii="Times New Roman" w:hAnsi="Times New Roman" w:cs="Times New Roman"/>
                <w:szCs w:val="21"/>
              </w:rPr>
            </w:pPr>
            <w:r>
              <w:rPr>
                <w:rFonts w:ascii="Times New Roman" w:hAnsi="Times New Roman" w:cs="Times New Roman"/>
                <w:szCs w:val="21"/>
              </w:rPr>
              <w:t>合计</w:t>
            </w:r>
          </w:p>
        </w:tc>
        <w:tc>
          <w:tcPr>
            <w:tcW w:w="2695"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2504.39</w:t>
            </w:r>
          </w:p>
        </w:tc>
        <w:tc>
          <w:tcPr>
            <w:tcW w:w="2433"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2364.39</w:t>
            </w:r>
          </w:p>
        </w:tc>
        <w:tc>
          <w:tcPr>
            <w:tcW w:w="2031"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71.55</w:t>
            </w:r>
          </w:p>
        </w:tc>
      </w:tr>
    </w:tbl>
    <w:p>
      <w:pPr>
        <w:pStyle w:val="26"/>
        <w:spacing w:before="93" w:beforeLines="30" w:after="93" w:afterLines="30" w:line="312" w:lineRule="auto"/>
        <w:ind w:left="0" w:leftChars="0" w:firstLine="480" w:firstLineChars="200"/>
        <w:rPr>
          <w:rFonts w:eastAsia="宋体" w:cs="Times New Roman"/>
          <w:sz w:val="24"/>
        </w:rPr>
      </w:pP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drawing>
          <wp:inline distT="0" distB="0" distL="0" distR="0">
            <wp:extent cx="5274310" cy="4252595"/>
            <wp:effectExtent l="4445" t="4445" r="17145" b="10160"/>
            <wp:docPr id="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图3.1-2 韶关市十四五期间散装水泥、预拌混凝土、砂浆使用量预测</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ascii="Times New Roman" w:hAnsi="Times New Roman" w:cs="Times New Roman" w:eastAsiaTheme="minorEastAsia"/>
          <w:sz w:val="28"/>
          <w:szCs w:val="28"/>
        </w:rPr>
        <w:t>由线性预测图得到2025年内韶关市散装水泥供应量为710万吨，预拌混凝土使用量为840万立方米，预拌砂浆使用量为50万吨。</w:t>
      </w:r>
    </w:p>
    <w:p>
      <w:pPr>
        <w:pStyle w:val="2"/>
        <w:snapToGrid w:val="0"/>
        <w:spacing w:line="360" w:lineRule="auto"/>
        <w:ind w:firstLine="560" w:firstLineChars="200"/>
        <w:rPr>
          <w:rFonts w:hint="default" w:ascii="Times New Roman" w:hAnsi="Times New Roman" w:cs="Times New Roman" w:eastAsiaTheme="minorEastAsia"/>
          <w:sz w:val="28"/>
          <w:szCs w:val="28"/>
        </w:rPr>
      </w:pPr>
      <w:bookmarkStart w:id="56" w:name="_Toc22091"/>
      <w:r>
        <w:rPr>
          <w:rFonts w:ascii="Times New Roman" w:hAnsi="Times New Roman" w:cs="Times New Roman" w:eastAsiaTheme="minorEastAsia"/>
          <w:sz w:val="28"/>
          <w:szCs w:val="28"/>
        </w:rPr>
        <w:t>3、装配式建筑面积</w:t>
      </w:r>
      <w:bookmarkEnd w:id="56"/>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ascii="Times New Roman" w:hAnsi="Times New Roman" w:cs="Times New Roman" w:eastAsiaTheme="minorEastAsia"/>
          <w:sz w:val="28"/>
          <w:szCs w:val="28"/>
        </w:rPr>
        <w:t>住宅建设为城市房屋建设的主体，装配式建筑试点、示范应以住宅为重点。装配式建筑是推进建筑产业现代化的一个特征表现，是建筑工业化生产方式的一种生产手段、一个有效技术方法和路径，而预制构件是建筑工业化的重要组成部分。吸取其他省市发展预制构件经验，在保障韶关市装配式建筑顺利推进的同时，要严控低端产能一哄而上、无序发展。</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ascii="Times New Roman" w:hAnsi="Times New Roman" w:cs="Times New Roman" w:eastAsiaTheme="minorEastAsia"/>
          <w:sz w:val="28"/>
          <w:szCs w:val="28"/>
        </w:rPr>
        <w:t>根据《广东省人民政府办公厅关于大力发展装配式建筑的实施意见》（粤府办〔2017〕28号）文件要求：韶关市作为鼓励推进地区，到2020年装配式建筑占新建建筑面积比例达到10%以上，其中政府投资工程装配式建筑面积占比达到30%以上。如表3所示，韶关市2021年新开工房屋建筑面积为518.52万m²，假设2021~2025年期间，新开工面积年均增长3%，装配式建筑的预制率和装配率稳步提升，可预测得到2021~2025年期间内韶关市发展装配式建筑对预制构件的大致需求与所需预制构件生产线条数，如下表示意：</w:t>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表3.1-5 韶关市十四五期间装配式建筑与构件使用量估算</w:t>
      </w:r>
    </w:p>
    <w:tbl>
      <w:tblPr>
        <w:tblStyle w:val="18"/>
        <w:tblW w:w="8522" w:type="dxa"/>
        <w:jc w:val="cente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Layout w:type="fixed"/>
        <w:tblCellMar>
          <w:top w:w="0" w:type="dxa"/>
          <w:left w:w="108" w:type="dxa"/>
          <w:bottom w:w="0" w:type="dxa"/>
          <w:right w:w="108" w:type="dxa"/>
        </w:tblCellMar>
      </w:tblPr>
      <w:tblGrid>
        <w:gridCol w:w="698"/>
        <w:gridCol w:w="1171"/>
        <w:gridCol w:w="1077"/>
        <w:gridCol w:w="1609"/>
        <w:gridCol w:w="1478"/>
        <w:gridCol w:w="1478"/>
        <w:gridCol w:w="1011"/>
      </w:tblGrid>
      <w:tr>
        <w:tblPrEx>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Ex>
        <w:trPr>
          <w:tblHeader/>
          <w:jc w:val="center"/>
        </w:trPr>
        <w:tc>
          <w:tcPr>
            <w:tcW w:w="698" w:type="dxa"/>
            <w:tcBorders>
              <w:top w:val="single" w:color="000000" w:sz="8" w:space="0"/>
              <w:left w:val="single" w:color="000000" w:sz="8" w:space="0"/>
              <w:bottom w:val="single" w:color="000000" w:sz="8" w:space="0"/>
              <w:right w:val="single" w:color="000000" w:sz="8" w:space="0"/>
            </w:tcBorders>
            <w:shd w:val="clear" w:color="auto" w:fill="auto"/>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年份</w:t>
            </w:r>
          </w:p>
        </w:tc>
        <w:tc>
          <w:tcPr>
            <w:tcW w:w="1171" w:type="dxa"/>
            <w:tcBorders>
              <w:top w:val="single" w:color="000000" w:sz="8" w:space="0"/>
              <w:left w:val="single" w:color="000000" w:sz="8" w:space="0"/>
              <w:bottom w:val="single" w:color="000000" w:sz="8" w:space="0"/>
              <w:right w:val="single" w:color="000000" w:sz="8" w:space="0"/>
            </w:tcBorders>
            <w:shd w:val="clear" w:color="auto" w:fill="auto"/>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新开工面积（万</w:t>
            </w:r>
            <w:r>
              <w:rPr>
                <w:rFonts w:ascii="Times New Roman" w:hAnsi="Times New Roman" w:eastAsia="宋体" w:cs="Times New Roman"/>
                <w:szCs w:val="21"/>
              </w:rPr>
              <w:t>m</w:t>
            </w:r>
            <w:r>
              <w:rPr>
                <w:rFonts w:ascii="Times New Roman" w:hAnsi="Times New Roman" w:eastAsia="宋体" w:cs="Times New Roman"/>
                <w:szCs w:val="21"/>
                <w:vertAlign w:val="superscript"/>
              </w:rPr>
              <w:t>2</w:t>
            </w:r>
            <w:r>
              <w:rPr>
                <w:rFonts w:hint="eastAsia" w:ascii="Times New Roman" w:hAnsi="Times New Roman" w:eastAsia="宋体" w:cs="Times New Roman"/>
                <w:szCs w:val="21"/>
              </w:rPr>
              <w:t>）</w:t>
            </w:r>
          </w:p>
        </w:tc>
        <w:tc>
          <w:tcPr>
            <w:tcW w:w="1077" w:type="dxa"/>
            <w:tcBorders>
              <w:top w:val="single" w:color="000000" w:sz="8" w:space="0"/>
              <w:left w:val="single" w:color="000000" w:sz="8" w:space="0"/>
              <w:bottom w:val="single" w:color="000000" w:sz="8" w:space="0"/>
              <w:right w:val="single" w:color="000000" w:sz="8" w:space="0"/>
            </w:tcBorders>
            <w:shd w:val="clear" w:color="auto" w:fill="auto"/>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装配式建筑占比</w:t>
            </w:r>
          </w:p>
        </w:tc>
        <w:tc>
          <w:tcPr>
            <w:tcW w:w="1609" w:type="dxa"/>
            <w:tcBorders>
              <w:top w:val="single" w:color="000000" w:sz="8" w:space="0"/>
              <w:left w:val="single" w:color="000000" w:sz="8" w:space="0"/>
              <w:bottom w:val="single" w:color="000000" w:sz="8" w:space="0"/>
              <w:right w:val="single" w:color="000000" w:sz="8" w:space="0"/>
            </w:tcBorders>
            <w:shd w:val="clear" w:color="auto" w:fill="auto"/>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装配式建筑总面积（万</w:t>
            </w:r>
            <w:r>
              <w:rPr>
                <w:rFonts w:ascii="Times New Roman" w:hAnsi="Times New Roman" w:eastAsia="宋体" w:cs="Times New Roman"/>
                <w:szCs w:val="21"/>
              </w:rPr>
              <w:t>m</w:t>
            </w:r>
            <w:r>
              <w:rPr>
                <w:rFonts w:ascii="Times New Roman" w:hAnsi="Times New Roman" w:eastAsia="宋体" w:cs="Times New Roman"/>
                <w:szCs w:val="21"/>
                <w:vertAlign w:val="superscript"/>
              </w:rPr>
              <w:t>2</w:t>
            </w:r>
            <w:r>
              <w:rPr>
                <w:rFonts w:hint="eastAsia" w:ascii="Times New Roman" w:hAnsi="Times New Roman" w:eastAsia="宋体" w:cs="Times New Roman"/>
                <w:szCs w:val="21"/>
              </w:rPr>
              <w:t>）</w:t>
            </w:r>
          </w:p>
        </w:tc>
        <w:tc>
          <w:tcPr>
            <w:tcW w:w="1478" w:type="dxa"/>
            <w:tcBorders>
              <w:top w:val="single" w:color="000000" w:sz="8" w:space="0"/>
              <w:left w:val="single" w:color="000000" w:sz="8" w:space="0"/>
              <w:bottom w:val="single" w:color="000000" w:sz="8" w:space="0"/>
              <w:right w:val="single" w:color="000000" w:sz="8"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预制率</w:t>
            </w:r>
          </w:p>
        </w:tc>
        <w:tc>
          <w:tcPr>
            <w:tcW w:w="1478" w:type="dxa"/>
            <w:tcBorders>
              <w:top w:val="single" w:color="000000" w:sz="8" w:space="0"/>
              <w:left w:val="single" w:color="000000" w:sz="8" w:space="0"/>
              <w:bottom w:val="single" w:color="000000" w:sz="8" w:space="0"/>
              <w:right w:val="single" w:color="000000" w:sz="8" w:space="0"/>
            </w:tcBorders>
            <w:shd w:val="clear" w:color="auto" w:fill="auto"/>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预制构件需求量（万</w:t>
            </w:r>
            <w:r>
              <w:rPr>
                <w:rFonts w:ascii="Times New Roman" w:hAnsi="Times New Roman" w:eastAsia="宋体" w:cs="Times New Roman"/>
                <w:szCs w:val="21"/>
              </w:rPr>
              <w:t>m</w:t>
            </w:r>
            <w:r>
              <w:rPr>
                <w:rFonts w:ascii="Times New Roman" w:hAnsi="Times New Roman" w:eastAsia="宋体" w:cs="Times New Roman"/>
                <w:szCs w:val="21"/>
                <w:vertAlign w:val="superscript"/>
              </w:rPr>
              <w:t>3</w:t>
            </w:r>
            <w:r>
              <w:rPr>
                <w:rFonts w:hint="eastAsia" w:ascii="Times New Roman" w:hAnsi="Times New Roman" w:eastAsia="宋体" w:cs="Times New Roman"/>
                <w:szCs w:val="21"/>
              </w:rPr>
              <w:t>）</w:t>
            </w:r>
          </w:p>
        </w:tc>
        <w:tc>
          <w:tcPr>
            <w:tcW w:w="1011" w:type="dxa"/>
            <w:tcBorders>
              <w:top w:val="single" w:color="000000" w:sz="8" w:space="0"/>
              <w:left w:val="single" w:color="000000" w:sz="8" w:space="0"/>
              <w:bottom w:val="single" w:color="000000" w:sz="8" w:space="0"/>
              <w:right w:val="single" w:color="000000" w:sz="8" w:space="0"/>
            </w:tcBorders>
            <w:shd w:val="clear" w:color="auto" w:fill="auto"/>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预制构件生产线（条）</w:t>
            </w:r>
          </w:p>
        </w:tc>
      </w:tr>
      <w:tr>
        <w:tblPrEx>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Ex>
        <w:trPr>
          <w:trHeight w:val="402" w:hRule="atLeast"/>
          <w:jc w:val="center"/>
        </w:trPr>
        <w:tc>
          <w:tcPr>
            <w:tcW w:w="69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2022</w:t>
            </w:r>
          </w:p>
        </w:tc>
        <w:tc>
          <w:tcPr>
            <w:tcW w:w="117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534.08 </w:t>
            </w:r>
          </w:p>
        </w:tc>
        <w:tc>
          <w:tcPr>
            <w:tcW w:w="1077"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14%</w:t>
            </w:r>
          </w:p>
        </w:tc>
        <w:tc>
          <w:tcPr>
            <w:tcW w:w="1609"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74.77 </w:t>
            </w:r>
          </w:p>
        </w:tc>
        <w:tc>
          <w:tcPr>
            <w:tcW w:w="1478" w:type="dxa"/>
            <w:tcBorders>
              <w:top w:val="single" w:color="000000" w:sz="8" w:space="0"/>
              <w:left w:val="single" w:color="000000" w:sz="8" w:space="0"/>
              <w:bottom w:val="single" w:color="000000" w:sz="8" w:space="0"/>
              <w:right w:val="single" w:color="000000" w:sz="8" w:space="0"/>
            </w:tcBorders>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55%</w:t>
            </w:r>
          </w:p>
        </w:tc>
        <w:tc>
          <w:tcPr>
            <w:tcW w:w="147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14.39 </w:t>
            </w:r>
          </w:p>
        </w:tc>
        <w:tc>
          <w:tcPr>
            <w:tcW w:w="101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4</w:t>
            </w:r>
          </w:p>
        </w:tc>
      </w:tr>
      <w:tr>
        <w:tblPrEx>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Ex>
        <w:trPr>
          <w:trHeight w:val="402" w:hRule="atLeast"/>
          <w:jc w:val="center"/>
        </w:trPr>
        <w:tc>
          <w:tcPr>
            <w:tcW w:w="69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2023</w:t>
            </w:r>
          </w:p>
        </w:tc>
        <w:tc>
          <w:tcPr>
            <w:tcW w:w="117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550.10 </w:t>
            </w:r>
          </w:p>
        </w:tc>
        <w:tc>
          <w:tcPr>
            <w:tcW w:w="1077"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16%</w:t>
            </w:r>
          </w:p>
        </w:tc>
        <w:tc>
          <w:tcPr>
            <w:tcW w:w="1609"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88.02 </w:t>
            </w:r>
          </w:p>
        </w:tc>
        <w:tc>
          <w:tcPr>
            <w:tcW w:w="1478" w:type="dxa"/>
            <w:tcBorders>
              <w:top w:val="single" w:color="000000" w:sz="8" w:space="0"/>
              <w:left w:val="single" w:color="000000" w:sz="8" w:space="0"/>
              <w:bottom w:val="single" w:color="000000" w:sz="8" w:space="0"/>
              <w:right w:val="single" w:color="000000" w:sz="8" w:space="0"/>
            </w:tcBorders>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55%</w:t>
            </w:r>
          </w:p>
        </w:tc>
        <w:tc>
          <w:tcPr>
            <w:tcW w:w="147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16.94 </w:t>
            </w:r>
          </w:p>
        </w:tc>
        <w:tc>
          <w:tcPr>
            <w:tcW w:w="101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4</w:t>
            </w:r>
          </w:p>
        </w:tc>
      </w:tr>
      <w:tr>
        <w:tblPrEx>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Ex>
        <w:trPr>
          <w:trHeight w:val="402" w:hRule="atLeast"/>
          <w:jc w:val="center"/>
        </w:trPr>
        <w:tc>
          <w:tcPr>
            <w:tcW w:w="69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2024</w:t>
            </w:r>
          </w:p>
        </w:tc>
        <w:tc>
          <w:tcPr>
            <w:tcW w:w="117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566.60 </w:t>
            </w:r>
          </w:p>
        </w:tc>
        <w:tc>
          <w:tcPr>
            <w:tcW w:w="1077"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18%</w:t>
            </w:r>
          </w:p>
        </w:tc>
        <w:tc>
          <w:tcPr>
            <w:tcW w:w="1609"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101.99 </w:t>
            </w:r>
          </w:p>
        </w:tc>
        <w:tc>
          <w:tcPr>
            <w:tcW w:w="1478" w:type="dxa"/>
            <w:tcBorders>
              <w:top w:val="single" w:color="000000" w:sz="8" w:space="0"/>
              <w:left w:val="single" w:color="000000" w:sz="8" w:space="0"/>
              <w:bottom w:val="single" w:color="000000" w:sz="8" w:space="0"/>
              <w:right w:val="single" w:color="000000" w:sz="8" w:space="0"/>
            </w:tcBorders>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60%</w:t>
            </w:r>
          </w:p>
        </w:tc>
        <w:tc>
          <w:tcPr>
            <w:tcW w:w="147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21.42 </w:t>
            </w:r>
          </w:p>
        </w:tc>
        <w:tc>
          <w:tcPr>
            <w:tcW w:w="101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5</w:t>
            </w:r>
          </w:p>
        </w:tc>
      </w:tr>
      <w:tr>
        <w:tblPrEx>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Ex>
        <w:trPr>
          <w:trHeight w:val="402" w:hRule="atLeast"/>
          <w:jc w:val="center"/>
        </w:trPr>
        <w:tc>
          <w:tcPr>
            <w:tcW w:w="69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2025</w:t>
            </w:r>
          </w:p>
        </w:tc>
        <w:tc>
          <w:tcPr>
            <w:tcW w:w="117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583.60 </w:t>
            </w:r>
          </w:p>
        </w:tc>
        <w:tc>
          <w:tcPr>
            <w:tcW w:w="1077"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20%</w:t>
            </w:r>
          </w:p>
        </w:tc>
        <w:tc>
          <w:tcPr>
            <w:tcW w:w="1609"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116.72 </w:t>
            </w:r>
          </w:p>
        </w:tc>
        <w:tc>
          <w:tcPr>
            <w:tcW w:w="1478" w:type="dxa"/>
            <w:tcBorders>
              <w:top w:val="single" w:color="000000" w:sz="8" w:space="0"/>
              <w:left w:val="single" w:color="000000" w:sz="8" w:space="0"/>
              <w:bottom w:val="single" w:color="000000" w:sz="8" w:space="0"/>
              <w:right w:val="single" w:color="000000" w:sz="8" w:space="0"/>
            </w:tcBorders>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60%</w:t>
            </w:r>
          </w:p>
        </w:tc>
        <w:tc>
          <w:tcPr>
            <w:tcW w:w="147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24.51 </w:t>
            </w:r>
          </w:p>
        </w:tc>
        <w:tc>
          <w:tcPr>
            <w:tcW w:w="101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6</w:t>
            </w:r>
          </w:p>
        </w:tc>
      </w:tr>
    </w:tbl>
    <w:p>
      <w:pPr>
        <w:pStyle w:val="2"/>
        <w:jc w:val="center"/>
        <w:rPr>
          <w:rFonts w:hint="default" w:ascii="Times New Roman" w:hAnsi="Times New Roman" w:cs="Times New Roman"/>
          <w:szCs w:val="21"/>
        </w:rPr>
      </w:pP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ascii="Times New Roman" w:hAnsi="Times New Roman" w:cs="Times New Roman" w:eastAsiaTheme="minorEastAsia"/>
          <w:sz w:val="28"/>
          <w:szCs w:val="28"/>
        </w:rPr>
        <w:t>可见，“十四五”期间，韶关市装配式建筑市场需求量将在2025年增加到116.72万m²，而预制构件产能需求也将增长至24.51万m³，预制构件生产线按年产量按4万m³计算，到2025年至少需6条预制构件生产线才能满足韶关市本地装配式建筑市场需求。按4000元/m³的预制构件生产均价计算，韶关市装配式建筑预制构件生产市场容量将由2018年的6.51亿元增加到2025年的9.8亿元。按建筑行业发展规律，相关的设计、配套材料生产、物流运输、施工、检测、运营配套产业产值和市场潜力巨大。</w:t>
      </w:r>
    </w:p>
    <w:p>
      <w:pPr>
        <w:spacing w:after="156" w:afterLines="50"/>
        <w:outlineLvl w:val="1"/>
        <w:rPr>
          <w:rFonts w:ascii="Times New Roman" w:hAnsi="Times New Roman" w:eastAsia="楷体" w:cs="Times New Roman"/>
          <w:b/>
          <w:bCs/>
          <w:sz w:val="32"/>
          <w:szCs w:val="32"/>
        </w:rPr>
      </w:pPr>
      <w:bookmarkStart w:id="57" w:name="_Toc116399596"/>
      <w:r>
        <w:rPr>
          <w:rFonts w:ascii="Times New Roman" w:hAnsi="Times New Roman" w:eastAsia="楷体" w:cs="Times New Roman"/>
          <w:b/>
          <w:bCs/>
          <w:sz w:val="32"/>
          <w:szCs w:val="32"/>
        </w:rPr>
        <w:t>3.2 产品优势及交通情况分析</w:t>
      </w:r>
      <w:bookmarkEnd w:id="57"/>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3.2.1 产品优势</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韶关工业起步较早，中华人民共和国成立后国家把韶关作为华南重工业基地来建设，先后建立起韶关钢铁厂、冶炼厂、挖掘机厂、凡口铅锌矿、大宝山矿等一大批骨干工业企业，奠定了韶关工业基础，成为华南重要的工业基地。改革开放以后，韶关工业进一步发展，在加强重工业的同时，也引进一些轻工业。近年来韶关因地制宜，依托资源优势，积极发展优势产业，形成了资源型产业突出、加工工业雄厚、部分轻工业开始崛起的综合工业城市。2019年工业增加值367.78亿元，重工业增加值占238.53亿元，钢铁工业和机械工业增幅较大，分别增长14.1%和11.6%，有色金属和电力工业分别增长2.1%、7.6%。</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韶关是广东的钢铁生产基地，年产能达650万吨，是中国重要的船板钢生产企业。同时发展特钢产业，以粉末冶金、</w:t>
      </w:r>
      <w:bookmarkStart w:id="58" w:name="_Hlk106960542"/>
      <w:r>
        <w:rPr>
          <w:rFonts w:hint="default" w:ascii="Times New Roman" w:hAnsi="Times New Roman" w:cs="Times New Roman" w:eastAsiaTheme="minorEastAsia"/>
          <w:sz w:val="28"/>
          <w:szCs w:val="28"/>
        </w:rPr>
        <w:t>钢铁深加工等产业</w:t>
      </w:r>
      <w:bookmarkEnd w:id="58"/>
      <w:r>
        <w:rPr>
          <w:rFonts w:hint="default" w:ascii="Times New Roman" w:hAnsi="Times New Roman" w:cs="Times New Roman" w:eastAsiaTheme="minorEastAsia"/>
          <w:sz w:val="28"/>
          <w:szCs w:val="28"/>
        </w:rPr>
        <w:t>为重点，延伸韶钢产业链。钢铁主业产品涵盖板材、棒材、品种线材以及特钢长材等，广泛应用于汽车、石油化工、机械制造、能源交通、航天航空、核电等行业。产品主要在珠三角、华东地区及广东邻近省销售，部分出口。</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2021年11月18日，台泥集团旗下的台泥（韶关）水泥有限公司举办竣工仪式，标志着其在中国大陆首个生态循环开放工厂正式落成。台泥韶关厂建成后，日产6000吨的水泥熟料生产线将输送高品质的水泥支援大湾区建设。</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韶关地处南岭巨型纬向构造带中段，国家级重点成矿带南岭成矿带横贯全市，成矿地质条件优越，矿产资源种类较齐全，多种矿产资源禀赋居全省前列。截至 2020 年底，全市共发现矿产种类 88 种，已查明资源储量的矿产 56 种，查明资源储量矿产地 351 处，其中能源矿产 63 处，金属矿产103 处，非金属矿产 180 处，水气矿产 5 处。韶关是“中国有色金属之乡”，有“中国锌都”称号，主要有铁、铜、铅、锌、钨、钼、锑、稀土等，其中铁、铜、铅、锌、钨等为韶关优势矿产，资源禀赋居全省前列，铅、锌、铁、铜、钨、稀土等矿产资源丰富，占全省比例较大。非金属矿产主要有萤石、石英、石灰岩、花岗岩、陶瓷土等，韶关市矿产资源赋存的主要特点一是分布广，大部分已发现的矿种在市辖 10 个县（市、区）均有分布；二是小型矿床多，大、中型矿床少；三是共生伴生矿多，单一矿少，特别是金属矿产。</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韶关市近年大力发展新型化工材料。翁源华彩新材料产业园是翁源县抢抓省进一步促进粤东西北地区振兴发展机遇，围绕市委市政府主动融入珠三角发展战略，与广东鸿盛集团有限公司共同打造的环保新材料产业园区。</w:t>
      </w:r>
      <w:bookmarkStart w:id="59" w:name="_Hlk108684170"/>
      <w:r>
        <w:rPr>
          <w:rFonts w:hint="default" w:ascii="Times New Roman" w:hAnsi="Times New Roman" w:cs="Times New Roman" w:eastAsiaTheme="minorEastAsia"/>
          <w:sz w:val="28"/>
          <w:szCs w:val="28"/>
        </w:rPr>
        <w:t>南雄产业转移工业园</w:t>
      </w:r>
      <w:bookmarkEnd w:id="59"/>
      <w:r>
        <w:rPr>
          <w:rFonts w:hint="default" w:ascii="Times New Roman" w:hAnsi="Times New Roman" w:cs="Times New Roman" w:eastAsiaTheme="minorEastAsia"/>
          <w:sz w:val="28"/>
          <w:szCs w:val="28"/>
        </w:rPr>
        <w:t>以精细化工为主导产业，有中科院广州化学研究所南雄生产基地、仟邦实业、德科美化工、西顿化工、英达利实业等大项目落户南雄并快速发展。依托华彩新材料产业园和南雄产业转移工业园一期，韶关市拥有良好的涂料生产基础。</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eastAsiaTheme="minorEastAsia"/>
          <w:sz w:val="28"/>
          <w:szCs w:val="28"/>
        </w:rPr>
        <w:t>韶关市天然的气候和</w:t>
      </w:r>
      <w:r>
        <w:rPr>
          <w:rFonts w:ascii="Times New Roman" w:hAnsi="Times New Roman" w:cs="Times New Roman" w:eastAsiaTheme="minorEastAsia"/>
          <w:sz w:val="28"/>
          <w:szCs w:val="28"/>
        </w:rPr>
        <w:t>地理</w:t>
      </w:r>
      <w:r>
        <w:rPr>
          <w:rFonts w:hint="default" w:ascii="Times New Roman" w:hAnsi="Times New Roman" w:cs="Times New Roman" w:eastAsiaTheme="minorEastAsia"/>
          <w:sz w:val="28"/>
          <w:szCs w:val="28"/>
        </w:rPr>
        <w:t>条件是竹类资源发展的良好基础，自然分布着丰富的竹类资源。如仁化县县域内竹类面积65万亩，占林业用地面积24.95%。韶关市是全省最大的毛竹基地和竹子主产区之一，竹林总面积达233万亩，竹类品种多达几十种，具有经济价值的竹种有毛竹、撑篙竹、麻竹、粉单竹等。毛竹是主要竹种，面积达46万亩，具有粗直、肉厚、节长等特点，是优良的笋、材两用竹；</w:t>
      </w:r>
      <w:r>
        <w:rPr>
          <w:rFonts w:hint="default" w:ascii="Times New Roman" w:hAnsi="Times New Roman" w:cs="Times New Roman"/>
          <w:sz w:val="28"/>
          <w:szCs w:val="28"/>
        </w:rPr>
        <w:t>撑篙竹、麻竹、粉单竹等其它竹类占19万亩。</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依托深厚的工业基础及钢铁产量，韶关市有良好的发展钢铁深加工产业的条件，在国家大力推广装配式建筑的背景下，韶关市拥有良好的发展钢结构装配式构件的基础和发展前景。随着2021年底台泥韶关厂的竣工，韶关市已拥有向周边地区提供优质水泥的能力。韶关市本地拥有丰富的有色金属、竹木等资源优势，可以依托丰富的原材料资源发展建材产业。</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3.2.2 交通情况与辐射潜力</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1、现有交通状况</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韶关交通基础设施完善，“十三五”期间韶关市基础设施网络布局初步形成，通过大力推进以高速公里为重点的交通基础设施建设，加快构建“八高四铁二航”综合立体交通网络体系，为韶关市经济社会发展提供有力保障。“八高”包括京港澳、南韶、韶关北环、乐广、武深、大广、昆汕和韶新八条高速公路。“四铁”包括武广高铁、京广铁路、赣韶铁路、韶柳铁路。“两航”包括北江航道和丹霞机场。2016~2020年，韶关市交通基础设施建设共完成投资约416亿元，已形成以“八高三铁二航”为主骨架的综合交通网。实现县县通高速公路，成为粤北首个、全省第四个拥有环城高速公路的城市。韶关市是广东省内二类口岸的地级市之一，拥有铁路口岸2个，公路口岸2个，韶关新港水运货物24小时可直达港澳。在交通枢纽上，具有内联外拓的区位优势，依托“八高四铁两航”立体综合交通体系，通过武广高铁、京广铁路和韶赣高速路与湘赣区域和粤港澳大湾区互通互联，是粤港澳大湾区辐射内陆腹地的“黄金通道”，有效融入珠三角“一小时生活圈”和粤港澳大湾区“两小时经济圈”。</w:t>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drawing>
          <wp:inline distT="0" distB="0" distL="0" distR="0">
            <wp:extent cx="5152390" cy="3040380"/>
            <wp:effectExtent l="0" t="0" r="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157754" cy="3043809"/>
                    </a:xfrm>
                    <a:prstGeom prst="rect">
                      <a:avLst/>
                    </a:prstGeom>
                    <a:noFill/>
                  </pic:spPr>
                </pic:pic>
              </a:graphicData>
            </a:graphic>
          </wp:inline>
        </w:drawing>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图3.2-1 韶关市区位图</w:t>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drawing>
          <wp:inline distT="0" distB="0" distL="114300" distR="114300">
            <wp:extent cx="4606925" cy="4906645"/>
            <wp:effectExtent l="0" t="0" r="3175" b="8255"/>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31"/>
                    <a:stretch>
                      <a:fillRect/>
                    </a:stretch>
                  </pic:blipFill>
                  <pic:spPr>
                    <a:xfrm>
                      <a:off x="0" y="0"/>
                      <a:ext cx="4609878" cy="4910087"/>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图3.2-2 韶关对外交通图</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（1）公路</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截至2020年底，全市公路通车里程位列全省第6，达1.7万公里，比“十二五”增加945公里，公路密度93.27公里/百平方公里，比2015年提升5.3%。其中高速公路688.9公里，普通国省道2472公里。“十三五”末与“十二五”末韶关市公路里程增长如下表所示：</w:t>
      </w:r>
    </w:p>
    <w:p>
      <w:pPr>
        <w:pStyle w:val="26"/>
        <w:spacing w:before="156" w:beforeLines="50" w:after="156" w:afterLines="50" w:line="240" w:lineRule="auto"/>
        <w:ind w:left="0" w:leftChars="0"/>
        <w:jc w:val="center"/>
        <w:rPr>
          <w:rFonts w:cs="Times New Roman"/>
          <w:szCs w:val="21"/>
        </w:rPr>
      </w:pPr>
      <w:r>
        <w:rPr>
          <w:rFonts w:cs="Times New Roman"/>
          <w:szCs w:val="21"/>
        </w:rPr>
        <w:t>表3.2-1 “十三五”末与“十二五”末韶关市公路里程对比</w:t>
      </w:r>
    </w:p>
    <w:tbl>
      <w:tblPr>
        <w:tblStyle w:val="1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7"/>
        <w:gridCol w:w="1217"/>
        <w:gridCol w:w="1217"/>
        <w:gridCol w:w="1217"/>
        <w:gridCol w:w="1218"/>
        <w:gridCol w:w="1218"/>
        <w:gridCol w:w="1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17" w:type="dxa"/>
            <w:vAlign w:val="center"/>
          </w:tcPr>
          <w:p>
            <w:pPr>
              <w:pStyle w:val="2"/>
              <w:jc w:val="center"/>
              <w:rPr>
                <w:rFonts w:hint="default" w:ascii="Times New Roman" w:hAnsi="Times New Roman" w:cs="Times New Roman" w:eastAsiaTheme="minorEastAsia"/>
                <w:szCs w:val="21"/>
              </w:rPr>
            </w:pP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总里程（公里）</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公路网密度（公里/百平方公里）</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高速公路（公里）</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一级公路（公里）</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二级公路（公里）</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三四级公路（公里）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2015年末</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16131</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87.7</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491</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212</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827</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14601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2020年末</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17076</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92.37</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688.9</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221.8</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827.7</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15163.7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增长率（%）</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4.8</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5.3</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39.9</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4.6</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0.1</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3.9</w:t>
            </w:r>
          </w:p>
        </w:tc>
      </w:tr>
    </w:tbl>
    <w:p>
      <w:pPr>
        <w:pStyle w:val="2"/>
        <w:snapToGrid w:val="0"/>
        <w:spacing w:line="360" w:lineRule="auto"/>
        <w:ind w:firstLine="560" w:firstLineChars="200"/>
        <w:rPr>
          <w:rFonts w:hint="default" w:ascii="Times New Roman" w:hAnsi="Times New Roman" w:cs="Times New Roman"/>
          <w:sz w:val="28"/>
          <w:szCs w:val="28"/>
        </w:rPr>
      </w:pP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（2）水运</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韶关港地处珠江水系的北江中上游，韶关港码头主要分布在北江、武江和浈江两岸，分为</w:t>
      </w:r>
      <w:r>
        <w:rPr>
          <w:rFonts w:ascii="Times New Roman" w:hAnsi="Times New Roman" w:cs="Times New Roman"/>
          <w:sz w:val="28"/>
          <w:szCs w:val="28"/>
        </w:rPr>
        <w:t>乌</w:t>
      </w:r>
      <w:r>
        <w:rPr>
          <w:rFonts w:hint="default" w:ascii="Times New Roman" w:hAnsi="Times New Roman" w:cs="Times New Roman"/>
          <w:sz w:val="28"/>
          <w:szCs w:val="28"/>
        </w:rPr>
        <w:t>石、白土、新港、浈江、武江五个港区。韶关港已有相对设施较完善的50~300吨级泊位61个，港口主要运输货种有水泥、矿石、煤炭、煤灰、竹木、钢材和集装箱等。韶关港货物通过北江、西江等内河航道可通江达海，直达清远市、珠三角地区、港澳地区和广西的部分地区。</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十三五”期间，大力推进航道升级。北江航道扩能升级项目韶关至清远千吨级船闸通航，包含孟洲坝枢纽二线船闸、濛浬枢纽二线船闸、白石窑枢纽二线船闸、飞来峡枢纽二三线船闸、清远枢纽二线船闸在内的5座千吨级船闸通航。千吨级船舶从韶关孟洲坝下游通往佛山三水的平均航行时间大幅缩短。</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截至2020年底，韶关市巷道里程合计698公里，“十三五”期间增长80.8%。</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（3）铁路</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截至2020年底，韶关市铁路运营总里程491.8公里，其中：京广高铁118公里、京广铁路138公里、赣韶铁路117公里、省属地方铁路61公里、各大厂矿铁路专用线57.8公里。已形成“两纵一横”国有铁路大干线和省属地方铁路及大厂矿铁路专用线的区域内铁路网格局</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（4）民航</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韶关丹霞机场位于乳源瑶族自治县桂头镇，距离韶关市区30公里，项目总投资约16.67亿元。飞行区按4C级标准，航站楼按1.28万平方米建设，民用航站与军航设施分开建设。设计年旅客吞吐量100万人次、货邮吞吐量4000吨、飞机起降9500架次。该项目已列入国家、民航和省、市“十三五”规划，为省、市重点项目，</w:t>
      </w:r>
      <w:r>
        <w:rPr>
          <w:rFonts w:ascii="Times New Roman" w:hAnsi="Times New Roman" w:cs="Times New Roman"/>
          <w:sz w:val="28"/>
          <w:szCs w:val="28"/>
        </w:rPr>
        <w:t>于</w:t>
      </w:r>
      <w:r>
        <w:rPr>
          <w:rFonts w:hint="default" w:ascii="Times New Roman" w:hAnsi="Times New Roman" w:cs="Times New Roman"/>
          <w:sz w:val="28"/>
          <w:szCs w:val="28"/>
        </w:rPr>
        <w:t>2021年11月建成通航，是广东省第9个民用机场。</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（5）货运枢纽</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十三五”时期，北江港区乌石枢纽项目启动建设，规划建设100吨级泊位40个，吞吐量为4130万吨/年，岸线长度约3350米，总投资约19亿元，该项目建成后将充分发挥北江航运的优势，实现海运、内陆河运和铁路运输高效协作，实现“铁水联运”，大幅降低大宗商品进出物流成本。</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2、存在问题</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对外通道主要包括广惠（广州、惠州）、清远、郴州、赣州、河源5个方向，目前韶关市域内的高等级公路和铁路主要集中在广州、惠州、郴州、赣州4个方向。通往清远、河源的东西向高等级通道缺乏，不利于韶关市在粤北地区枢纽地位的提升。韶关市高速公路密度为3.78公里/百平方公里，明显低于全省5.01公里/百平方公里平均水平。</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公铁、铁水等多式联运在全社会货运量的比例很低，铁路、港口等货运枢纽普遍存在“最后一公里”衔接不畅的问题。尤其是园区铁路专用线很少，韶关港至今没有铁路与其衔接，主要靠公路开展集疏运，制约了物流业降本增效，对交通运输支撑实体经济发展和生态环境治理造成较大影响。</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铁路和水运在综合运输结构中的比例较低，全社会客货运量仍主要由公路承担，铁路、水运在长距离、大宗货物运输方面的比较优势没有发挥出来，资源要素配置不合理，造成了综合交通运输系统整体效率不高。</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3、交通规划情况</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规划增设京广客运专线韶关北站；建设粤北国际物流中心货运站场；恢复山子背站，形成曲江山子背物流中心；设置韶柳铁路白土站，形成白土物流中心。</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规划建设四个物流园，五个货运站,六个配送中心：筹划建设韶关港水运口岸。谋划建设丹霞机场客货运枢纽。</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完善由规划南韶高速公路</w:t>
      </w:r>
      <w:r>
        <w:rPr>
          <w:rFonts w:ascii="Times New Roman" w:hAnsi="Times New Roman" w:cs="Times New Roman"/>
          <w:sz w:val="28"/>
          <w:szCs w:val="28"/>
        </w:rPr>
        <w:tab/>
      </w:r>
      <w:r>
        <w:rPr>
          <w:rFonts w:ascii="Times New Roman" w:hAnsi="Times New Roman" w:cs="Times New Roman"/>
          <w:sz w:val="28"/>
          <w:szCs w:val="28"/>
        </w:rPr>
        <w:t>、乐广高速公路、韶关北环高速公路、京港澳高速公路形成的环城高速公路环线。</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5268595" cy="3853180"/>
            <wp:effectExtent l="0" t="0" r="1905" b="7620"/>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32"/>
                    <a:stretch>
                      <a:fillRect/>
                    </a:stretch>
                  </pic:blipFill>
                  <pic:spPr>
                    <a:xfrm>
                      <a:off x="0" y="0"/>
                      <a:ext cx="5268595" cy="385318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 w:val="18"/>
          <w:szCs w:val="21"/>
        </w:rPr>
      </w:pPr>
      <w:r>
        <w:rPr>
          <w:rFonts w:cs="Times New Roman"/>
          <w:szCs w:val="21"/>
        </w:rPr>
        <w:t>图3.2-3 韶关综合交通规划图</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4、辐射分析</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从大致直线距离来看，按照500公里运输距离划分，从地图上划定覆盖范围。从图3.2-4、表3.2-2中可以看出，直线距离100公里内，主要跟韶关相邻的清远英德地区，而与其他相邻城市建成区较远；200公里直线距离范围，则包括了河源、广州、佛山以及湖南的郴州、江西的赣州。300公里则包括广东的大部分城市以及湖南的衡阳、永州，江西的吉安，广西的贺州梧州。</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不同类型建材由于形态、质量、易损耗性等不同，导致运输成本、运输方式、最远运输距离等都存在差异。在运输方式的选择上，通常来说成本水运最低，铁路次之，汽运最高但时效性也最强。水运运量大，运送距离长，运费低，但是受自然条件影响较大，装卸费用较高且速度较慢。铁路运输适合中距离，速度较快，费用中等，但有装卸费和二次运输费。目前韶关市仍普遍存在铁路、港口等货运枢纽“最后一公里”衔接不畅的问题，因此韶关市建材多采用汽运。汽运运送距离短，费用高，但时效性强，可以实现门对门送达。考虑到运输的经济距离以及交通路线的便利，目前韶关的优势建材或未来重点发展的建材按运输范围从近到远可分为三类。</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5271135" cy="4819650"/>
            <wp:effectExtent l="0" t="0" r="12065" b="6350"/>
            <wp:docPr id="4" name="图片 4" descr="1638272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638272513(1)"/>
                    <pic:cNvPicPr>
                      <a:picLocks noChangeAspect="1"/>
                    </pic:cNvPicPr>
                  </pic:nvPicPr>
                  <pic:blipFill>
                    <a:blip r:embed="rId33"/>
                    <a:stretch>
                      <a:fillRect/>
                    </a:stretch>
                  </pic:blipFill>
                  <pic:spPr>
                    <a:xfrm>
                      <a:off x="0" y="0"/>
                      <a:ext cx="5271135" cy="4819650"/>
                    </a:xfrm>
                    <a:prstGeom prst="rect">
                      <a:avLst/>
                    </a:prstGeom>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图3.2-4 韶关建材产品覆盖范围分析图</w:t>
      </w:r>
    </w:p>
    <w:p>
      <w:pPr>
        <w:pStyle w:val="26"/>
        <w:spacing w:before="156" w:beforeLines="50" w:after="156" w:afterLines="50" w:line="240" w:lineRule="auto"/>
        <w:ind w:left="0" w:leftChars="0"/>
        <w:jc w:val="center"/>
        <w:rPr>
          <w:rFonts w:cs="Times New Roman"/>
          <w:szCs w:val="21"/>
        </w:rPr>
      </w:pPr>
    </w:p>
    <w:p>
      <w:pPr>
        <w:pStyle w:val="26"/>
        <w:spacing w:before="156" w:beforeLines="50" w:after="156" w:afterLines="50" w:line="240" w:lineRule="auto"/>
        <w:ind w:left="0" w:leftChars="0"/>
        <w:jc w:val="center"/>
        <w:rPr>
          <w:rFonts w:cs="Times New Roman"/>
          <w:szCs w:val="21"/>
        </w:rPr>
      </w:pPr>
      <w:r>
        <w:rPr>
          <w:rFonts w:cs="Times New Roman"/>
          <w:szCs w:val="21"/>
        </w:rPr>
        <w:t>表3.2-2 韶关为中心不同直线距离内所含城市</w:t>
      </w:r>
    </w:p>
    <w:tbl>
      <w:tblPr>
        <w:tblStyle w:val="1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1"/>
        <w:gridCol w:w="3044"/>
        <w:gridCol w:w="1567"/>
        <w:gridCol w:w="1322"/>
        <w:gridCol w:w="1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11"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直线距离</w:t>
            </w:r>
          </w:p>
        </w:tc>
        <w:tc>
          <w:tcPr>
            <w:tcW w:w="3044"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广东</w:t>
            </w:r>
          </w:p>
        </w:tc>
        <w:tc>
          <w:tcPr>
            <w:tcW w:w="1567"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湖南</w:t>
            </w:r>
          </w:p>
        </w:tc>
        <w:tc>
          <w:tcPr>
            <w:tcW w:w="1322"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江西</w:t>
            </w:r>
          </w:p>
        </w:tc>
        <w:tc>
          <w:tcPr>
            <w:tcW w:w="1378"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广西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1"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100</w:t>
            </w:r>
            <w:r>
              <w:rPr>
                <w:rFonts w:ascii="Times New Roman" w:hAnsi="Times New Roman" w:cs="Times New Roman"/>
                <w:szCs w:val="21"/>
              </w:rPr>
              <w:t>km</w:t>
            </w:r>
          </w:p>
        </w:tc>
        <w:tc>
          <w:tcPr>
            <w:tcW w:w="3044"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清远</w:t>
            </w:r>
          </w:p>
        </w:tc>
        <w:tc>
          <w:tcPr>
            <w:tcW w:w="1567"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w:t>
            </w:r>
          </w:p>
        </w:tc>
        <w:tc>
          <w:tcPr>
            <w:tcW w:w="1322"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w:t>
            </w:r>
          </w:p>
        </w:tc>
        <w:tc>
          <w:tcPr>
            <w:tcW w:w="1378"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1"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200</w:t>
            </w:r>
            <w:r>
              <w:rPr>
                <w:rFonts w:ascii="Times New Roman" w:hAnsi="Times New Roman" w:cs="Times New Roman"/>
                <w:szCs w:val="21"/>
              </w:rPr>
              <w:t xml:space="preserve"> km</w:t>
            </w:r>
          </w:p>
        </w:tc>
        <w:tc>
          <w:tcPr>
            <w:tcW w:w="3044"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河源、广州、佛山</w:t>
            </w:r>
          </w:p>
        </w:tc>
        <w:tc>
          <w:tcPr>
            <w:tcW w:w="1567"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郴州</w:t>
            </w:r>
          </w:p>
        </w:tc>
        <w:tc>
          <w:tcPr>
            <w:tcW w:w="1322"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赣州</w:t>
            </w:r>
          </w:p>
        </w:tc>
        <w:tc>
          <w:tcPr>
            <w:tcW w:w="1378"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1"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300</w:t>
            </w:r>
            <w:r>
              <w:rPr>
                <w:rFonts w:ascii="Times New Roman" w:hAnsi="Times New Roman" w:cs="Times New Roman"/>
                <w:szCs w:val="21"/>
              </w:rPr>
              <w:t xml:space="preserve"> km</w:t>
            </w:r>
          </w:p>
        </w:tc>
        <w:tc>
          <w:tcPr>
            <w:tcW w:w="3044"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肇庆、云浮、东莞、深圳、惠州、梅州、中山、江门</w:t>
            </w:r>
          </w:p>
        </w:tc>
        <w:tc>
          <w:tcPr>
            <w:tcW w:w="1567"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衡阳、永州</w:t>
            </w:r>
          </w:p>
        </w:tc>
        <w:tc>
          <w:tcPr>
            <w:tcW w:w="1322"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吉安</w:t>
            </w:r>
          </w:p>
        </w:tc>
        <w:tc>
          <w:tcPr>
            <w:tcW w:w="1378"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贺州、梧州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1"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400</w:t>
            </w:r>
            <w:r>
              <w:rPr>
                <w:rFonts w:ascii="Times New Roman" w:hAnsi="Times New Roman" w:cs="Times New Roman"/>
                <w:szCs w:val="21"/>
              </w:rPr>
              <w:t xml:space="preserve"> km</w:t>
            </w:r>
          </w:p>
        </w:tc>
        <w:tc>
          <w:tcPr>
            <w:tcW w:w="3044"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潮州、揭阳、汕头、汕尾</w:t>
            </w:r>
          </w:p>
        </w:tc>
        <w:tc>
          <w:tcPr>
            <w:tcW w:w="1567"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邵阳、娄底、长沙</w:t>
            </w:r>
          </w:p>
        </w:tc>
        <w:tc>
          <w:tcPr>
            <w:tcW w:w="1322"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萍乡、宜春、新余</w:t>
            </w:r>
          </w:p>
        </w:tc>
        <w:tc>
          <w:tcPr>
            <w:tcW w:w="1378"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桂林</w:t>
            </w:r>
          </w:p>
        </w:tc>
      </w:tr>
    </w:tbl>
    <w:p>
      <w:pPr>
        <w:pStyle w:val="2"/>
        <w:snapToGrid w:val="0"/>
        <w:spacing w:line="360" w:lineRule="auto"/>
        <w:ind w:firstLine="560" w:firstLineChars="200"/>
        <w:rPr>
          <w:rFonts w:hint="default" w:ascii="Times New Roman" w:hAnsi="Times New Roman" w:cs="Times New Roman"/>
          <w:sz w:val="28"/>
          <w:szCs w:val="28"/>
        </w:rPr>
      </w:pP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（1）预拌混凝土、预拌砂浆</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预拌混凝土作为一种过渡性的半成品，从其生产完成到交付给客户，超出时间将会出现冷凝的现象，产品质量下降无法使用。这种冷凝特性使其对于运输的时效性要高，运输时间必须低于初凝时间。由于预拌混凝土的冷凝特性，对于运输时间的要求严格，所以在调度问题中运输距离较短，从搅拌到运输至使用工地一般不能超过二个小时，一般运输距离上限为在30~50km。</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预拌混凝土、预拌砂浆的这种特性也使得运输半径成为企业的竞争壁垒之一。对于预拌混凝土、预拌砂浆这类受限于运距的建材，尽管本地拥有原材料优势，但绝大部分产品由本地消纳，部分县（市、区）如新丰、翁源等可以考虑开拓邻近地市市场。</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（2）装配式构件、板材</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装配式构件包括墙、板、楼梯等部件。装配式建筑构件产品具有种类繁多、体积庞大、单件产品质量大的特点，在很大程度上制约了产品的运输。此外，受公路运输限长、限宽、限高等限制，以及产品本身偏重、不规则、部分构件重心偏移等问题，加大了装载以及加固的难度，增加了运输的难度。因此运输成本作为装配式建筑构成的重要组成部分，在一定程度上影响着装配式建筑的总成本。在实地走访企业调研并与相关负责人沟通中了解到，装配式构件的主要运输方式为公路运输。尽管采用水运在长距离运输时可以降低运输成本成本，但在两种不同运输方式中转的装卸过程中可能会损坏构件表面的油漆，影响商品品质，且中转可能需要重新加固等，因此目前企业基本只选择公路运输以减少运输中转，尽量实现“门到门”服务。因此，韶关市目前大部分装配式构件的市场为珠三角区域，少部分会销往湖南、江西。</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受限于运输成本的控制，未来韶关市装配式构件和板材等建材主要销售市场仍是广东省内。粤港澳大湾区建设对广东来说是重大发展布局，对韶关市建材市场的发展也是重大利好、重大机遇。同时发挥韶关市位于三省交界的地理优势，依托京港澳高速、武深高速等向北开拓湖南市场，依托南邵高速、大广高速等向东南开拓江西市场。</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（3）涂料</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新型化工材料是韶关市制造业重点发展方向之一，相关规划明确指出要加快壮大高端环保涂料等产业。随着南雄产业园（一期）与翁源产业园（新材料工业园）的建设，韶关市涂料工业和基础建设迅速发展。</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当涂料企业规模较小时，大多数企业会选择专注于自己核心能力如研发制造的培养，且涂料类建材不像预拌砂浆、预拌混凝土等需要“门对门”运输或装配式构件等需要定制生产，在涂料企业达到中大规模之前，大部分企业会选择通过经销商和零售商将产品销售到客户手上，因此韶关市交通情况对涂料类建材影响相对较小。此外涂料类建材的体积、重量相对较小，外形也较为规则，因此物流成本在整体成本中占比相对较小。相较于预拌混凝土、预拌砂浆、装配式构件、板材等，韶关市的涂料类建材受交通情况的影响较小。</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3.2.3 物流发展工作分析</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韶关市良好的地理位置和独特的区位优势，是广东的北大门，但目前韶关市的物流体系尚未形成物流节点，工业产品在与外省的运输物流过程中可能需要经广州发往外省，带来成本的上升。推动韶关市商贸物流补短板、强弱项、固优势，有助于降低建材产品的物流成本，提升韶关市建材在外地市场的竞争力。争取在“十四五”期间，进一步完善韶关市商贸物流服务体系及服务网络，商贸物流服务质量和效率进一步提升，初步建立流通顺畅、运转高效、具有一定规模的商贸物流体系。</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1）统筹推进交通基础设施和物流基础设施建设，科学规划布局现代物流网点，重点加快建设空港物流园、韶关港等多式联运物流枢纽项目，构建衔接顺畅运转高效、绿色低碳的现代物流产业体系和“南货北运”“北货南运”的区域性商贸物流节点。</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2）优化干线运输与城乡配送衔接方式，提高工业园区商贸物流服务能力和水平。推动现代信息技术与商贸物流全场景融合应用，鼓励企业引入5G、大数据、物联网、人工智能等技术手段，提升商贸物流全流程、全要素资源数字化运作管理水平。</w:t>
      </w:r>
    </w:p>
    <w:p>
      <w:pPr>
        <w:pStyle w:val="2"/>
        <w:snapToGrid w:val="0"/>
        <w:spacing w:line="360" w:lineRule="auto"/>
        <w:ind w:firstLine="560" w:firstLineChars="200"/>
        <w:rPr>
          <w:rFonts w:hint="default" w:ascii="Times New Roman" w:hAnsi="Times New Roman" w:eastAsia="楷体" w:cs="Times New Roman"/>
          <w:b/>
          <w:bCs/>
          <w:sz w:val="32"/>
          <w:szCs w:val="32"/>
        </w:rPr>
      </w:pPr>
      <w:r>
        <w:rPr>
          <w:rFonts w:hint="default" w:ascii="Times New Roman" w:hAnsi="Times New Roman" w:cs="Times New Roman"/>
          <w:sz w:val="28"/>
          <w:szCs w:val="28"/>
        </w:rPr>
        <w:t>（3）鼓励建材企业产销分离，支持本地有较大规模的制造业企业优化组织结构，在本地成立销售公司进行专业化营销。</w:t>
      </w:r>
    </w:p>
    <w:p>
      <w:pPr>
        <w:spacing w:after="156" w:afterLines="50"/>
        <w:outlineLvl w:val="1"/>
        <w:rPr>
          <w:rFonts w:ascii="Times New Roman" w:hAnsi="Times New Roman" w:eastAsia="楷体" w:cs="Times New Roman"/>
          <w:b/>
          <w:bCs/>
          <w:sz w:val="32"/>
          <w:szCs w:val="32"/>
        </w:rPr>
      </w:pPr>
      <w:bookmarkStart w:id="60" w:name="_Toc116399597"/>
      <w:r>
        <w:rPr>
          <w:rFonts w:ascii="Times New Roman" w:hAnsi="Times New Roman" w:eastAsia="楷体" w:cs="Times New Roman"/>
          <w:b/>
          <w:bCs/>
          <w:sz w:val="32"/>
          <w:szCs w:val="32"/>
        </w:rPr>
        <w:t>3.3 绿色建筑与绿色建材产业发展定位</w:t>
      </w:r>
      <w:bookmarkEnd w:id="60"/>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全力落实省委、省政府工作要求，全力筑牢粤北生态屏障，打造绿色发展韶关样板、奋力争当北部生态发展区高质量发展排头兵，贯彻“适用、经济、绿色、美观”的建筑方针，切实推进建筑节能、绿色建筑、装配式建筑、建筑材料绿色化等工作，全面提高建筑能源利用效率和建筑环境品质，推动全市住房城乡建设领域绿色化发展，加快推动新型建筑工业化，全面实现“十四五”城市建设可持续发展和建筑节能与绿色建筑发展目标。</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基于韶关市发展宏观定位，大力发展绿色建筑和绿色建材产业，争取成为：</w:t>
      </w:r>
    </w:p>
    <w:p>
      <w:pPr>
        <w:pStyle w:val="2"/>
        <w:snapToGrid w:val="0"/>
        <w:spacing w:line="360" w:lineRule="auto"/>
        <w:ind w:firstLine="560" w:firstLineChars="200"/>
        <w:rPr>
          <w:rFonts w:hint="default" w:ascii="Times New Roman" w:hAnsi="Times New Roman" w:cs="Times New Roman"/>
          <w:sz w:val="28"/>
          <w:szCs w:val="28"/>
        </w:rPr>
      </w:pPr>
      <w:bookmarkStart w:id="61" w:name="_Hlk107236510"/>
      <w:r>
        <w:rPr>
          <w:rFonts w:ascii="Times New Roman" w:hAnsi="Times New Roman" w:cs="Times New Roman"/>
          <w:sz w:val="28"/>
          <w:szCs w:val="28"/>
        </w:rPr>
        <w:t>1、</w:t>
      </w:r>
      <w:r>
        <w:rPr>
          <w:rFonts w:hint="default" w:ascii="Times New Roman" w:hAnsi="Times New Roman" w:cs="Times New Roman"/>
          <w:sz w:val="28"/>
          <w:szCs w:val="28"/>
        </w:rPr>
        <w:t>绿色建筑发展的有力支撑</w:t>
      </w:r>
      <w:bookmarkEnd w:id="61"/>
      <w:r>
        <w:rPr>
          <w:rFonts w:hint="default" w:ascii="Times New Roman" w:hAnsi="Times New Roman" w:cs="Times New Roman"/>
          <w:sz w:val="28"/>
          <w:szCs w:val="28"/>
        </w:rPr>
        <w:t>。绿色建筑发展离不开绿色建材、产品支撑，韶关要全面普及绿色建筑，实现绿色建筑的高质量发展，更需要产业链条的完善。</w:t>
      </w:r>
    </w:p>
    <w:p>
      <w:pPr>
        <w:pStyle w:val="2"/>
        <w:snapToGrid w:val="0"/>
        <w:spacing w:line="360" w:lineRule="auto"/>
        <w:ind w:firstLine="560" w:firstLineChars="200"/>
        <w:rPr>
          <w:rFonts w:hint="default" w:ascii="Times New Roman" w:hAnsi="Times New Roman" w:cs="Times New Roman"/>
          <w:sz w:val="28"/>
          <w:szCs w:val="28"/>
        </w:rPr>
      </w:pPr>
      <w:bookmarkStart w:id="62" w:name="_Hlk107236552"/>
      <w:r>
        <w:rPr>
          <w:rFonts w:ascii="Times New Roman" w:hAnsi="Times New Roman" w:cs="Times New Roman"/>
          <w:sz w:val="28"/>
          <w:szCs w:val="28"/>
        </w:rPr>
        <w:t>2、</w:t>
      </w:r>
      <w:r>
        <w:rPr>
          <w:rFonts w:hint="default" w:ascii="Times New Roman" w:hAnsi="Times New Roman" w:cs="Times New Roman"/>
          <w:sz w:val="28"/>
          <w:szCs w:val="28"/>
        </w:rPr>
        <w:t>推行新型建筑工业化重要内容</w:t>
      </w:r>
      <w:bookmarkEnd w:id="62"/>
      <w:r>
        <w:rPr>
          <w:rFonts w:hint="default" w:ascii="Times New Roman" w:hAnsi="Times New Roman" w:cs="Times New Roman"/>
          <w:sz w:val="28"/>
          <w:szCs w:val="28"/>
        </w:rPr>
        <w:t>。新型建筑工业化是新型工业化的重要内容。新型建筑工业化是通过新一代信息技术驱动，以工程全寿命期系统化集成设计、精益化生产施工为主要手段，整合工程全产业链、价值链和创新链，实现工程建设高效益、高质量、低消耗、低排放的建筑工业化。</w:t>
      </w:r>
    </w:p>
    <w:p>
      <w:pPr>
        <w:pStyle w:val="2"/>
        <w:snapToGrid w:val="0"/>
        <w:spacing w:line="360" w:lineRule="auto"/>
        <w:ind w:firstLine="560" w:firstLineChars="200"/>
        <w:rPr>
          <w:rFonts w:hint="default" w:ascii="Times New Roman" w:hAnsi="Times New Roman" w:cs="Times New Roman"/>
          <w:sz w:val="28"/>
          <w:szCs w:val="28"/>
        </w:rPr>
      </w:pPr>
      <w:bookmarkStart w:id="63" w:name="_Hlk107236565"/>
      <w:r>
        <w:rPr>
          <w:rFonts w:ascii="Times New Roman" w:hAnsi="Times New Roman" w:cs="Times New Roman"/>
          <w:sz w:val="28"/>
          <w:szCs w:val="28"/>
        </w:rPr>
        <w:t>3、</w:t>
      </w:r>
      <w:r>
        <w:rPr>
          <w:rFonts w:hint="default" w:ascii="Times New Roman" w:hAnsi="Times New Roman" w:cs="Times New Roman"/>
          <w:sz w:val="28"/>
          <w:szCs w:val="28"/>
        </w:rPr>
        <w:t>珠三角产业共建和区域合作融合发展区坚实纽带</w:t>
      </w:r>
      <w:bookmarkEnd w:id="63"/>
      <w:r>
        <w:rPr>
          <w:rFonts w:hint="default" w:ascii="Times New Roman" w:hAnsi="Times New Roman" w:cs="Times New Roman"/>
          <w:sz w:val="28"/>
          <w:szCs w:val="28"/>
        </w:rPr>
        <w:t>。通过绿色建筑和绿色建材产业发展，实现资源互补，沿广佛肇－韶湘发展带、深莞惠－韶赣发展带，与粤港澳大湾区共建，湘、赣区域合作融合发展。</w:t>
      </w:r>
    </w:p>
    <w:p>
      <w:pPr>
        <w:pStyle w:val="2"/>
        <w:snapToGrid w:val="0"/>
        <w:spacing w:line="360" w:lineRule="auto"/>
        <w:ind w:firstLine="560" w:firstLineChars="200"/>
        <w:rPr>
          <w:rFonts w:hint="default" w:ascii="Times New Roman" w:hAnsi="Times New Roman" w:cs="Times New Roman"/>
          <w:sz w:val="28"/>
          <w:szCs w:val="28"/>
        </w:rPr>
      </w:pPr>
      <w:bookmarkStart w:id="64" w:name="_Hlk107236968"/>
      <w:r>
        <w:rPr>
          <w:rFonts w:ascii="Times New Roman" w:hAnsi="Times New Roman" w:cs="Times New Roman"/>
          <w:sz w:val="28"/>
          <w:szCs w:val="28"/>
        </w:rPr>
        <w:t>4、</w:t>
      </w:r>
      <w:r>
        <w:rPr>
          <w:rFonts w:hint="default" w:ascii="Times New Roman" w:hAnsi="Times New Roman" w:cs="Times New Roman"/>
          <w:sz w:val="28"/>
          <w:szCs w:val="28"/>
        </w:rPr>
        <w:t>绿色发展韶关样板的亮眼元素</w:t>
      </w:r>
      <w:bookmarkEnd w:id="64"/>
      <w:r>
        <w:rPr>
          <w:rFonts w:hint="default" w:ascii="Times New Roman" w:hAnsi="Times New Roman" w:cs="Times New Roman"/>
          <w:sz w:val="28"/>
          <w:szCs w:val="28"/>
        </w:rPr>
        <w:t>。朝着凸显韶关生态禀赋、低碳环保特色目标，强化建筑和建材产业的绿色化深度。</w:t>
      </w:r>
    </w:p>
    <w:p>
      <w:pPr>
        <w:spacing w:after="156" w:afterLines="50"/>
        <w:outlineLvl w:val="1"/>
        <w:rPr>
          <w:rFonts w:ascii="Times New Roman" w:hAnsi="Times New Roman" w:eastAsia="楷体" w:cs="Times New Roman"/>
          <w:b/>
          <w:bCs/>
          <w:sz w:val="32"/>
          <w:szCs w:val="32"/>
        </w:rPr>
      </w:pPr>
      <w:bookmarkStart w:id="65" w:name="_Toc116399598"/>
      <w:r>
        <w:rPr>
          <w:rFonts w:ascii="Times New Roman" w:hAnsi="Times New Roman" w:eastAsia="楷体" w:cs="Times New Roman"/>
          <w:b/>
          <w:bCs/>
          <w:sz w:val="32"/>
          <w:szCs w:val="32"/>
        </w:rPr>
        <w:t>3.4 实现路径与发展模式</w:t>
      </w:r>
      <w:bookmarkEnd w:id="65"/>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按照“提升质量、延伸链条、绿色环保”的思路，把握绿色建筑及建筑工业化的发展趋势，利用好韶关在水泥熟料、建筑用钢、有色金属等领域的优势，打造装配式建筑材料为重点、绿色建材为特色的粤北地区新型建材生产中心，带动建筑板材、管材、合金门窗、幕墙、建筑陶瓷等配套环节集聚；积极引进广州、深圳、佛山等地区技术先进、专业配套、管理规范的的装配式建筑开发企业、设计企业、施工企业，鼓励我市大型预拌混凝土、预拌砂浆生产企业及传统建材企业向预制构件和住宅部品部件生产企业转型。</w:t>
      </w:r>
    </w:p>
    <w:p>
      <w:pPr>
        <w:pStyle w:val="2"/>
        <w:snapToGrid w:val="0"/>
        <w:spacing w:line="360" w:lineRule="auto"/>
        <w:ind w:firstLine="560" w:firstLineChars="200"/>
        <w:rPr>
          <w:rFonts w:hint="default" w:ascii="Times New Roman" w:hAnsi="Times New Roman" w:cs="Times New Roman"/>
          <w:sz w:val="28"/>
          <w:szCs w:val="28"/>
        </w:rPr>
      </w:pPr>
    </w:p>
    <w:p>
      <w:pPr>
        <w:spacing w:after="156" w:afterLines="50"/>
        <w:outlineLvl w:val="1"/>
        <w:rPr>
          <w:rFonts w:ascii="Times New Roman" w:hAnsi="Times New Roman" w:eastAsia="楷体" w:cs="Times New Roman"/>
          <w:b/>
          <w:bCs/>
          <w:sz w:val="32"/>
          <w:szCs w:val="32"/>
        </w:rPr>
      </w:pPr>
      <w:bookmarkStart w:id="66" w:name="_Toc116399599"/>
      <w:r>
        <w:rPr>
          <w:rFonts w:ascii="Times New Roman" w:hAnsi="Times New Roman" w:eastAsia="楷体" w:cs="Times New Roman"/>
          <w:b/>
          <w:bCs/>
          <w:sz w:val="32"/>
          <w:szCs w:val="32"/>
        </w:rPr>
        <w:t>3.5 本章小结</w:t>
      </w:r>
      <w:bookmarkEnd w:id="66"/>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本章根据对韶关市“十四五”国民经济和社会发展规划纲要和城市总体规划、广东省绿色建筑“十四五”相关内容的分析，结合韶关的发展趋势和建设规模，对绿色建筑、绿色建材、散装水泥、装配式建筑建材、新型建筑工业化等的发展目标进行了测算，并对绿色建筑规模、装配式建筑面积、绿色建材的使用量等进行了量化评估。第二节研究了了韶关市拥有的产品优势，如钢铁生产、深加工基础和有色金属、竹木等原材料资源等，对韶关市的地理位置、交通情况和不同建材产品对周边城市的辐射潜力进行了分析，并对韶关市未来将区位优势转化为物流优势的工作方向进行了分析。根据前述分析，本章提出了绿色建材是韶关市绿色建筑发展的有力支撑、推行新型建筑工业化重要内容、珠三角产业共建和区域合作融合发展区坚实纽带、绿色发展韶关样板的亮眼元素的产业发展定位，并提出实现路径和发展模式。</w:t>
      </w:r>
    </w:p>
    <w:p>
      <w:pPr>
        <w:pStyle w:val="2"/>
        <w:jc w:val="left"/>
        <w:rPr>
          <w:rFonts w:hint="default" w:ascii="Times New Roman" w:hAnsi="Times New Roman" w:cs="Times New Roman"/>
          <w:sz w:val="28"/>
          <w:szCs w:val="28"/>
        </w:rPr>
        <w:sectPr>
          <w:footerReference r:id="rId5" w:type="default"/>
          <w:pgSz w:w="11906" w:h="16838"/>
          <w:pgMar w:top="1440" w:right="1800" w:bottom="1440" w:left="1800" w:header="851" w:footer="992" w:gutter="0"/>
          <w:cols w:space="425" w:num="1"/>
          <w:docGrid w:type="lines" w:linePitch="312" w:charSpace="0"/>
        </w:sectPr>
      </w:pPr>
    </w:p>
    <w:p>
      <w:pPr>
        <w:pStyle w:val="3"/>
        <w:jc w:val="center"/>
        <w:rPr>
          <w:rFonts w:ascii="Times New Roman" w:hAnsi="Times New Roman" w:eastAsia="黑体" w:cs="Times New Roman"/>
          <w:sz w:val="36"/>
          <w:szCs w:val="36"/>
        </w:rPr>
      </w:pPr>
      <w:bookmarkStart w:id="67" w:name="_Toc116399600"/>
      <w:bookmarkStart w:id="68" w:name="_Hlk88582130"/>
      <w:r>
        <w:rPr>
          <w:rFonts w:ascii="Times New Roman" w:hAnsi="Times New Roman" w:eastAsia="黑体" w:cs="Times New Roman"/>
          <w:sz w:val="36"/>
          <w:szCs w:val="36"/>
        </w:rPr>
        <w:t>第四章 绿色建材产业发展规划</w:t>
      </w:r>
      <w:bookmarkEnd w:id="67"/>
    </w:p>
    <w:bookmarkEnd w:id="68"/>
    <w:p>
      <w:pPr>
        <w:spacing w:after="156" w:afterLines="50"/>
        <w:outlineLvl w:val="1"/>
        <w:rPr>
          <w:rFonts w:ascii="Times New Roman" w:hAnsi="Times New Roman" w:eastAsia="楷体" w:cs="Times New Roman"/>
          <w:b/>
          <w:bCs/>
          <w:sz w:val="32"/>
          <w:szCs w:val="32"/>
        </w:rPr>
      </w:pPr>
      <w:bookmarkStart w:id="69" w:name="_Toc21364"/>
      <w:bookmarkStart w:id="70" w:name="_Toc116399601"/>
      <w:r>
        <w:rPr>
          <w:rFonts w:ascii="Times New Roman" w:hAnsi="Times New Roman" w:eastAsia="楷体" w:cs="Times New Roman"/>
          <w:b/>
          <w:bCs/>
          <w:sz w:val="32"/>
          <w:szCs w:val="32"/>
        </w:rPr>
        <w:t xml:space="preserve">4.1 </w:t>
      </w:r>
      <w:bookmarkEnd w:id="69"/>
      <w:r>
        <w:rPr>
          <w:rFonts w:ascii="Times New Roman" w:hAnsi="Times New Roman" w:eastAsia="楷体" w:cs="Times New Roman"/>
          <w:b/>
          <w:bCs/>
          <w:sz w:val="32"/>
          <w:szCs w:val="32"/>
        </w:rPr>
        <w:t>市场和产业链分析</w:t>
      </w:r>
      <w:bookmarkEnd w:id="70"/>
    </w:p>
    <w:p>
      <w:pPr>
        <w:pStyle w:val="5"/>
        <w:spacing w:before="0" w:after="156" w:afterLines="50" w:line="360" w:lineRule="auto"/>
        <w:rPr>
          <w:rFonts w:ascii="Times New Roman" w:hAnsi="Times New Roman" w:cs="Times New Roman"/>
          <w:sz w:val="28"/>
          <w:szCs w:val="28"/>
        </w:rPr>
      </w:pPr>
      <w:bookmarkStart w:id="71" w:name="_Toc12593"/>
      <w:r>
        <w:rPr>
          <w:rFonts w:ascii="Times New Roman" w:hAnsi="Times New Roman" w:cs="Times New Roman"/>
          <w:sz w:val="28"/>
          <w:szCs w:val="28"/>
        </w:rPr>
        <w:t>4.1.1 绿色建筑全过程产业分支与发展潜力</w:t>
      </w:r>
      <w:bookmarkEnd w:id="71"/>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1、绿色建筑全过程产业分支及其产品</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（1）产业链分析</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相对于传统建筑行业，绿色建筑在</w:t>
      </w:r>
      <w:bookmarkStart w:id="72" w:name="_Hlk111209960"/>
      <w:r>
        <w:rPr>
          <w:rFonts w:ascii="Times New Roman" w:hAnsi="Times New Roman" w:cs="Times New Roman"/>
          <w:sz w:val="28"/>
          <w:szCs w:val="28"/>
        </w:rPr>
        <w:t>整个生命过程中衍生出</w:t>
      </w:r>
      <w:bookmarkEnd w:id="72"/>
      <w:r>
        <w:rPr>
          <w:rFonts w:ascii="Times New Roman" w:hAnsi="Times New Roman" w:cs="Times New Roman"/>
          <w:sz w:val="28"/>
          <w:szCs w:val="28"/>
        </w:rPr>
        <w:t>了一系列涉及其他相关行业的分支产品，丰富了建筑行业的内涵。例如，从源头建筑方案设计、建筑材料选择，伴随着绿色建筑相关咨询服务，引导、优化建筑的方案；施工过程中绿色施工的体现，伴随着绿色施工相关咨询服务，强调施工过程的绿色低碳；后期建筑销售、运营管理过程当中，伴随着绿色营销或绿色运营检测咨询服务，强调体现绿色建筑的价值；以及绿色技术产业，包括绿色新技术的研发，绿色新技术的推广与应用，绿色建材的认证，都是整个产业链中的衍生品。图4.1-1为绿色建筑产业链图谱，绿色建筑产业涉及到国民经济行业的7个门类（工程建设、技术服务、建筑材料生产、建筑设备制造、生态环境、运营管理和拆除），在国民经济行业分类中约占国民经济产业大类的30%、中类的15%左右。其中建筑节能、绿色建筑、装配式建筑、绿色建材涉及的相关关键技术产品如表4.1-1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3884295" cy="8147050"/>
            <wp:effectExtent l="0" t="0" r="1905"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3884295" cy="814705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图4.1-1 绿色建筑产业链图谱（括号内数字标识产业中类的编目）</w:t>
      </w:r>
    </w:p>
    <w:p>
      <w:pPr>
        <w:pStyle w:val="26"/>
        <w:spacing w:before="156" w:beforeLines="50" w:after="156" w:afterLines="50" w:line="240" w:lineRule="auto"/>
        <w:ind w:left="0" w:leftChars="0"/>
        <w:jc w:val="center"/>
        <w:rPr>
          <w:rFonts w:cs="Times New Roman"/>
          <w:szCs w:val="21"/>
        </w:rPr>
      </w:pPr>
      <w:r>
        <w:rPr>
          <w:rFonts w:cs="Times New Roman"/>
          <w:szCs w:val="21"/>
        </w:rPr>
        <w:t>表4.1-1 绿色建材关键技术产品指引</w:t>
      </w:r>
    </w:p>
    <w:tbl>
      <w:tblPr>
        <w:tblStyle w:val="19"/>
        <w:tblW w:w="8277" w:type="dxa"/>
        <w:tblInd w:w="10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7"/>
        <w:gridCol w:w="6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7" w:type="dxa"/>
            <w:vAlign w:val="center"/>
          </w:tcPr>
          <w:p>
            <w:pPr>
              <w:spacing w:line="360" w:lineRule="auto"/>
              <w:jc w:val="center"/>
              <w:textAlignment w:val="center"/>
              <w:rPr>
                <w:rFonts w:ascii="Times New Roman" w:hAnsi="Times New Roman" w:cs="Times New Roman"/>
                <w:szCs w:val="21"/>
              </w:rPr>
            </w:pPr>
            <w:r>
              <w:rPr>
                <w:rFonts w:ascii="Times New Roman" w:hAnsi="Times New Roman" w:cs="Times New Roman"/>
                <w:szCs w:val="21"/>
              </w:rPr>
              <w:t>分类</w:t>
            </w:r>
          </w:p>
        </w:tc>
        <w:tc>
          <w:tcPr>
            <w:tcW w:w="6570" w:type="dxa"/>
            <w:vAlign w:val="center"/>
          </w:tcPr>
          <w:p>
            <w:pPr>
              <w:spacing w:line="360" w:lineRule="auto"/>
              <w:jc w:val="center"/>
              <w:textAlignment w:val="center"/>
              <w:rPr>
                <w:rFonts w:ascii="Times New Roman" w:hAnsi="Times New Roman" w:cs="Times New Roman"/>
                <w:szCs w:val="21"/>
              </w:rPr>
            </w:pPr>
            <w:r>
              <w:rPr>
                <w:rFonts w:ascii="Times New Roman" w:hAnsi="Times New Roman" w:cs="Times New Roman"/>
                <w:szCs w:val="21"/>
              </w:rPr>
              <w:t>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7" w:type="dxa"/>
            <w:vAlign w:val="center"/>
          </w:tcPr>
          <w:p>
            <w:pPr>
              <w:spacing w:line="360" w:lineRule="auto"/>
              <w:jc w:val="center"/>
              <w:textAlignment w:val="center"/>
              <w:rPr>
                <w:rFonts w:ascii="Times New Roman" w:hAnsi="Times New Roman" w:cs="Times New Roman"/>
                <w:szCs w:val="21"/>
              </w:rPr>
            </w:pPr>
            <w:r>
              <w:rPr>
                <w:rFonts w:ascii="Times New Roman" w:hAnsi="Times New Roman" w:cs="Times New Roman"/>
                <w:szCs w:val="21"/>
              </w:rPr>
              <w:t>装配式建筑</w:t>
            </w:r>
          </w:p>
        </w:tc>
        <w:tc>
          <w:tcPr>
            <w:tcW w:w="6570" w:type="dxa"/>
            <w:vAlign w:val="center"/>
          </w:tcPr>
          <w:p>
            <w:pPr>
              <w:spacing w:line="360" w:lineRule="auto"/>
              <w:textAlignment w:val="center"/>
              <w:rPr>
                <w:rFonts w:ascii="Times New Roman" w:hAnsi="Times New Roman" w:cs="Times New Roman"/>
                <w:szCs w:val="21"/>
              </w:rPr>
            </w:pPr>
            <w:r>
              <w:rPr>
                <w:rFonts w:ascii="Times New Roman" w:hAnsi="Times New Roman" w:cs="Times New Roman"/>
                <w:szCs w:val="21"/>
              </w:rPr>
              <w:t>钢结构：大空间结构技术、围护体系、材料性能、连接工艺、消能减震等；</w:t>
            </w:r>
          </w:p>
          <w:p>
            <w:pPr>
              <w:spacing w:line="360" w:lineRule="auto"/>
              <w:textAlignment w:val="center"/>
              <w:rPr>
                <w:rFonts w:ascii="Times New Roman" w:hAnsi="Times New Roman" w:cs="Times New Roman"/>
                <w:szCs w:val="21"/>
              </w:rPr>
            </w:pPr>
            <w:r>
              <w:rPr>
                <w:rFonts w:ascii="Times New Roman" w:hAnsi="Times New Roman" w:cs="Times New Roman"/>
                <w:szCs w:val="21"/>
              </w:rPr>
              <w:t>装配式混凝土结构：连接支护和节点工艺、消能减震和预应力技术；</w:t>
            </w:r>
          </w:p>
          <w:p>
            <w:pPr>
              <w:spacing w:line="360" w:lineRule="auto"/>
              <w:textAlignment w:val="center"/>
              <w:rPr>
                <w:rFonts w:ascii="Times New Roman" w:hAnsi="Times New Roman" w:cs="Times New Roman"/>
                <w:szCs w:val="21"/>
              </w:rPr>
            </w:pPr>
            <w:r>
              <w:rPr>
                <w:rFonts w:ascii="Times New Roman" w:hAnsi="Times New Roman" w:cs="Times New Roman"/>
                <w:szCs w:val="21"/>
              </w:rPr>
              <w:t>一体化装修：系统门窗、装配式内装、管线综合集成、整体厨卫、整体收纳、检修维护、智能家居等技术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7" w:type="dxa"/>
            <w:vAlign w:val="center"/>
          </w:tcPr>
          <w:p>
            <w:pPr>
              <w:spacing w:line="360" w:lineRule="auto"/>
              <w:jc w:val="center"/>
              <w:textAlignment w:val="center"/>
              <w:rPr>
                <w:rFonts w:ascii="Times New Roman" w:hAnsi="Times New Roman" w:cs="Times New Roman"/>
                <w:szCs w:val="21"/>
              </w:rPr>
            </w:pPr>
            <w:r>
              <w:rPr>
                <w:rFonts w:ascii="Times New Roman" w:hAnsi="Times New Roman" w:cs="Times New Roman"/>
                <w:szCs w:val="21"/>
              </w:rPr>
              <w:t>建筑节能和绿色建筑</w:t>
            </w:r>
          </w:p>
        </w:tc>
        <w:tc>
          <w:tcPr>
            <w:tcW w:w="6570" w:type="dxa"/>
            <w:vAlign w:val="center"/>
          </w:tcPr>
          <w:p>
            <w:pPr>
              <w:spacing w:line="360" w:lineRule="auto"/>
              <w:textAlignment w:val="center"/>
              <w:rPr>
                <w:rFonts w:ascii="Times New Roman" w:hAnsi="Times New Roman" w:cs="Times New Roman"/>
                <w:szCs w:val="21"/>
              </w:rPr>
            </w:pPr>
            <w:r>
              <w:rPr>
                <w:rFonts w:ascii="Times New Roman" w:hAnsi="Times New Roman" w:cs="Times New Roman"/>
                <w:szCs w:val="21"/>
              </w:rPr>
              <w:t>超低能耗建筑技术体系及关键技术、节能照明、节能电器、节水器具、分集水器、负压新风、烟气直排、可再生能源应用、光伏光热与建筑一体化、分布式能源高效应用、小区智能停车、智能灌溉、环境监测、智慧化综合管理平台、区域能源供需耦合等关键技术，农村建筑、传统民居绿色建筑建设及改造技术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7" w:type="dxa"/>
            <w:vAlign w:val="center"/>
          </w:tcPr>
          <w:p>
            <w:pPr>
              <w:spacing w:line="360" w:lineRule="auto"/>
              <w:jc w:val="center"/>
              <w:textAlignment w:val="center"/>
              <w:rPr>
                <w:rFonts w:ascii="Times New Roman" w:hAnsi="Times New Roman" w:cs="Times New Roman"/>
                <w:szCs w:val="21"/>
              </w:rPr>
            </w:pPr>
            <w:r>
              <w:rPr>
                <w:rFonts w:ascii="Times New Roman" w:hAnsi="Times New Roman" w:cs="Times New Roman"/>
                <w:szCs w:val="21"/>
              </w:rPr>
              <w:t>装配式建材和绿色建材</w:t>
            </w:r>
          </w:p>
        </w:tc>
        <w:tc>
          <w:tcPr>
            <w:tcW w:w="6570" w:type="dxa"/>
            <w:vAlign w:val="center"/>
          </w:tcPr>
          <w:p>
            <w:pPr>
              <w:spacing w:line="360" w:lineRule="auto"/>
              <w:textAlignment w:val="center"/>
              <w:rPr>
                <w:rFonts w:ascii="Times New Roman" w:hAnsi="Times New Roman" w:cs="Times New Roman"/>
                <w:szCs w:val="21"/>
              </w:rPr>
            </w:pPr>
            <w:r>
              <w:rPr>
                <w:rFonts w:ascii="Times New Roman" w:hAnsi="Times New Roman" w:cs="Times New Roman"/>
                <w:szCs w:val="21"/>
              </w:rPr>
              <w:t>高强钢筋、高性能混凝土及其耐久性设计和评价技术，钢结构等装配式建筑应用的配套墙体材料、建筑垃圾再生利用技术、光伏光热结构功能一体化玻璃制品制备技术、薄膜太阳能电池成套关键技术、结构与保温装饰一体化外墙板制造和应用技术、装配式部品数字化研发设计技术，围护结构专用界面剂、粘结剂、高性能防水密封材料等。</w:t>
            </w:r>
          </w:p>
        </w:tc>
      </w:tr>
    </w:tbl>
    <w:p>
      <w:pPr>
        <w:pStyle w:val="2"/>
        <w:snapToGrid w:val="0"/>
        <w:spacing w:line="360" w:lineRule="auto"/>
        <w:ind w:firstLine="560" w:firstLineChars="200"/>
        <w:rPr>
          <w:rFonts w:hint="default" w:ascii="Times New Roman" w:hAnsi="Times New Roman" w:cs="Times New Roman"/>
          <w:sz w:val="28"/>
          <w:szCs w:val="28"/>
        </w:rPr>
      </w:pP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 xml:space="preserve">  （2）绿色建筑产品</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绿色建筑涉及的产品包括</w:t>
      </w:r>
      <w:bookmarkStart w:id="73" w:name="_Hlk114674779"/>
      <w:bookmarkStart w:id="74" w:name="_Hlk114673840"/>
      <w:r>
        <w:rPr>
          <w:rFonts w:ascii="Times New Roman" w:hAnsi="Times New Roman" w:cs="Times New Roman"/>
          <w:sz w:val="28"/>
          <w:szCs w:val="28"/>
        </w:rPr>
        <w:t>装配式建筑结构部品</w:t>
      </w:r>
      <w:bookmarkEnd w:id="73"/>
      <w:r>
        <w:rPr>
          <w:rFonts w:ascii="Times New Roman" w:hAnsi="Times New Roman" w:cs="Times New Roman"/>
          <w:sz w:val="28"/>
          <w:szCs w:val="28"/>
        </w:rPr>
        <w:t>、装配式围护部品、</w:t>
      </w:r>
      <w:bookmarkStart w:id="75" w:name="_Hlk114674322"/>
      <w:r>
        <w:rPr>
          <w:rFonts w:ascii="Times New Roman" w:hAnsi="Times New Roman" w:cs="Times New Roman"/>
          <w:sz w:val="28"/>
          <w:szCs w:val="28"/>
        </w:rPr>
        <w:t>全装修部品</w:t>
      </w:r>
      <w:bookmarkEnd w:id="75"/>
      <w:r>
        <w:rPr>
          <w:rFonts w:ascii="Times New Roman" w:hAnsi="Times New Roman" w:cs="Times New Roman"/>
          <w:sz w:val="28"/>
          <w:szCs w:val="28"/>
        </w:rPr>
        <w:t>、玻璃、木材、墙材、铝材、可再生材料、节能机电设备</w:t>
      </w:r>
      <w:bookmarkEnd w:id="74"/>
      <w:r>
        <w:rPr>
          <w:rFonts w:ascii="Times New Roman" w:hAnsi="Times New Roman" w:cs="Times New Roman"/>
          <w:sz w:val="28"/>
          <w:szCs w:val="28"/>
        </w:rPr>
        <w:t>等。</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装配式建筑结构部品：重钢梁柱、轻钢梁柱、钢桁架、钢管束混凝土部件、钢筋桁架楼承板等钢结构构件，配套发展钢结构高强螺栓、减震制震装备、大流动性混凝土、混凝土灌浆料等辅材产品。</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装配式围护部品：配套装配式内外墙体系统、结构与保温一体化系统、高性能门窗系统和屋面遮阳系统等。结构与保温装饰一体化的预制外围护系统、复合装配式外墙保温板、装配式轻质隔墙系统、轻质薄板等围护隔墙部品。以加气混凝土板材为突破口，延伸发展各类复合保温、预埋管线等单元体墙体。加强适用于新型墙体材料的专用施工机具、配件、高性能防水嵌缝密封材料、专用砂浆等产品的研发与配套。对接玻璃深加工产业，发展高效节能门窗及系统门窗。延伸发展遮阳材料、种植屋面、热反射屋面、通风屋面、保温防水一体化柔性屋面等具有绿色功能屋面系统。</w:t>
      </w:r>
    </w:p>
    <w:p>
      <w:pPr>
        <w:pStyle w:val="2"/>
        <w:snapToGrid w:val="0"/>
        <w:spacing w:line="360" w:lineRule="auto"/>
        <w:ind w:firstLine="560" w:firstLineChars="200"/>
        <w:rPr>
          <w:rFonts w:hint="default" w:ascii="Times New Roman" w:hAnsi="Times New Roman" w:cs="Times New Roman"/>
          <w:sz w:val="28"/>
          <w:szCs w:val="28"/>
        </w:rPr>
      </w:pPr>
      <w:bookmarkStart w:id="76" w:name="_Hlk111452924"/>
      <w:r>
        <w:rPr>
          <w:rFonts w:ascii="Times New Roman" w:hAnsi="Times New Roman" w:cs="Times New Roman"/>
          <w:sz w:val="28"/>
          <w:szCs w:val="28"/>
        </w:rPr>
        <w:t>全装修部品</w:t>
      </w:r>
      <w:bookmarkEnd w:id="76"/>
      <w:r>
        <w:rPr>
          <w:rFonts w:ascii="Times New Roman" w:hAnsi="Times New Roman" w:cs="Times New Roman"/>
          <w:sz w:val="28"/>
          <w:szCs w:val="28"/>
        </w:rPr>
        <w:t>：一体化卫生间，一体化厨房和整体衣柜、收纳储物柜。各类集成管道系统，同层排水塑料管道系统、低噪声排水管道系统、地板辐射采暖塑料管道系统、太阳能等生活热水塑料管道系统、室内通风塑料管道系统以及消防用水塑料管道系统等，建筑新风系统。</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玻璃建材：高透型Low-E中空玻璃、被动房用Low-E中（真）空玻璃、多色Low-E玻璃制品、自洁净玻璃、电致变色玻璃、智能调光玻璃、减反射玻璃、建筑安全玻璃、建筑防火玻璃、防弹玻璃、防爆玻璃、防飓风玻璃等建筑节能安全玻璃。模数化、标准化的低传热系数断桥铝合金和铝木复合门窗等高性能新型节能门窗、幕墙等高端系统门窗，发展满足近零能耗建筑要求的系统门窗、光伏建筑一体化（BIPV）幕墙，配套发展家具玻璃、装饰艺术玻璃。化学钢化玻璃、导电玻璃、手机镀膜玻璃、硅电池盖板玻璃部件，电致变色玻璃、触摸屏玻璃、太阳能薄膜电池等特种功能玻璃。</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木材：低甲醛环保型单板层积材（LVL）、平行木片胶合木（PSL）、层叠木片胶合木（LSL）等新型集成材、以及定向刨花板（OSB）、指接板、碳化木等木材加工制品，家具制造加工废料发展环保型中高密度板、颗粒板、木塑装饰板、木塑模板和木塑型材等生物质建材产品。各类人造板材与本地家具制造等产业深入对接，发展双饰面板、生态板等饰面板材。积极向集成厨卫、整体收纳、复合地板等集成家装产品方向延伸发展，提高精深加工程度和产品附加值。</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墙材：墙体材料向功能化、装饰化和装配化的利废墙材方向转型。烧结墙材企业重点提升原材料处理工艺和设备技术水平，利用大型隧道窑焙烧技术，发展烧结自保温砌块、烧结装饰砌块、烧结透水砖等产品。加气混凝土企业重点推进生产装备自动化和智能化发展，提高切割设备精度，发展B05级及以下低收缩加气混凝土砌块、加气混凝土精确砌块、加气混凝土墙板。支持有条件的企业利用周边地区尾矿砂资源发展砂加气混凝土板和装饰艺术板等高端产品。鼓励发展硅酸钙板、超轻陶粒、高强陶粒等粉煤灰、煤矸石再生产品。支持脱硫石膏用作水泥缓凝剂、生产石膏条板、石膏砌块等石膏制品，粉刷石膏、粘结石膏、嵌缝石膏等石膏胶凝材料，以及高强陶瓷模具石膏等方面的综合利用。</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铝材：建筑铝型材、节能铝合金门窗幕墙和铝合金建筑模板产品，延伸发展铝合金装饰一体化板、蜂窝铝板、铝扣板等建筑装饰铝合金材料。高性能HDPE波纹管等排水管道材料，对接装配式建筑同层排水系统研发生产。</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建筑再生集料混凝土、再生集料砌块等其他市政工程材料：生态修复材料和海绵城市材料生产，利用建筑垃圾再生集料，发展功能性市政工程材料</w:t>
      </w:r>
    </w:p>
    <w:p>
      <w:pPr>
        <w:pStyle w:val="2"/>
        <w:snapToGrid w:val="0"/>
        <w:spacing w:line="360" w:lineRule="auto"/>
        <w:ind w:firstLine="560" w:firstLineChars="200"/>
        <w:rPr>
          <w:rFonts w:hint="default" w:ascii="Times New Roman" w:hAnsi="Times New Roman" w:cs="Times New Roman"/>
          <w:sz w:val="28"/>
          <w:szCs w:val="28"/>
        </w:rPr>
      </w:pPr>
      <w:bookmarkStart w:id="77" w:name="_Hlk111453171"/>
      <w:r>
        <w:rPr>
          <w:rFonts w:ascii="Times New Roman" w:hAnsi="Times New Roman" w:cs="Times New Roman"/>
          <w:sz w:val="28"/>
          <w:szCs w:val="28"/>
        </w:rPr>
        <w:t>节能机电设备</w:t>
      </w:r>
      <w:bookmarkEnd w:id="77"/>
      <w:r>
        <w:rPr>
          <w:rFonts w:ascii="Times New Roman" w:hAnsi="Times New Roman" w:cs="Times New Roman"/>
          <w:sz w:val="28"/>
          <w:szCs w:val="28"/>
        </w:rPr>
        <w:t>：根据绿色建筑、超低能耗建筑、近零能耗建筑等中高端建筑市场需求，发展光热、电热、天然气互补系统、光伏光热系统、地源和空气源热泵、新风系统等新能源机电设备，适时发展储光建材和石墨烯相变储能材料。结合绿色城市、绿色住区建设。利用建筑信息系统（BIM）和大数据等信息化数据基础，引进智能楼宇、智能安防等智能家居产品生产企业。探索二氧化硅气凝胶、空气净化材料、抗菌防霉材料、耐污自洁材料、热反射隔热材料、负离子养生材料等功能性建材产品的产业化生产和应用。</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不同类别的绿色</w:t>
      </w:r>
      <w:r>
        <w:rPr>
          <w:rFonts w:hint="default" w:ascii="Times New Roman" w:hAnsi="Times New Roman" w:cs="Times New Roman"/>
          <w:sz w:val="28"/>
          <w:szCs w:val="28"/>
        </w:rPr>
        <w:t>建材</w:t>
      </w:r>
      <w:r>
        <w:rPr>
          <w:rFonts w:ascii="Times New Roman" w:hAnsi="Times New Roman" w:cs="Times New Roman"/>
          <w:sz w:val="28"/>
          <w:szCs w:val="28"/>
        </w:rPr>
        <w:t>产品</w:t>
      </w:r>
      <w:r>
        <w:rPr>
          <w:rFonts w:hint="default" w:ascii="Times New Roman" w:hAnsi="Times New Roman" w:cs="Times New Roman"/>
          <w:sz w:val="28"/>
          <w:szCs w:val="28"/>
        </w:rPr>
        <w:t>的适用范围如下表4.1-2所示。</w:t>
      </w:r>
    </w:p>
    <w:p>
      <w:pPr>
        <w:pStyle w:val="26"/>
        <w:spacing w:before="156" w:beforeLines="50" w:after="156" w:afterLines="50" w:line="240" w:lineRule="auto"/>
        <w:ind w:left="0" w:leftChars="0"/>
        <w:jc w:val="center"/>
        <w:rPr>
          <w:rFonts w:cs="Times New Roman"/>
          <w:szCs w:val="21"/>
        </w:rPr>
      </w:pPr>
      <w:r>
        <w:rPr>
          <w:rFonts w:cs="Times New Roman"/>
          <w:szCs w:val="21"/>
        </w:rPr>
        <w:t xml:space="preserve">4.1-2 </w:t>
      </w:r>
      <w:r>
        <w:rPr>
          <w:rFonts w:hint="eastAsia" w:cs="Times New Roman"/>
          <w:szCs w:val="21"/>
        </w:rPr>
        <w:t>各类绿色建材</w:t>
      </w:r>
      <w:r>
        <w:rPr>
          <w:rFonts w:cs="Times New Roman"/>
          <w:szCs w:val="21"/>
        </w:rPr>
        <w:t>适用范围</w:t>
      </w:r>
    </w:p>
    <w:tbl>
      <w:tblPr>
        <w:tblStyle w:val="18"/>
        <w:tblW w:w="8420" w:type="dxa"/>
        <w:tblInd w:w="113" w:type="dxa"/>
        <w:tblLayout w:type="autofit"/>
        <w:tblCellMar>
          <w:top w:w="0" w:type="dxa"/>
          <w:left w:w="108" w:type="dxa"/>
          <w:bottom w:w="0" w:type="dxa"/>
          <w:right w:w="108" w:type="dxa"/>
        </w:tblCellMar>
      </w:tblPr>
      <w:tblGrid>
        <w:gridCol w:w="960"/>
        <w:gridCol w:w="1940"/>
        <w:gridCol w:w="2260"/>
        <w:gridCol w:w="3260"/>
      </w:tblGrid>
      <w:tr>
        <w:tblPrEx>
          <w:tblCellMar>
            <w:top w:w="0" w:type="dxa"/>
            <w:left w:w="108" w:type="dxa"/>
            <w:bottom w:w="0" w:type="dxa"/>
            <w:right w:w="108" w:type="dxa"/>
          </w:tblCellMar>
        </w:tblPrEx>
        <w:trPr>
          <w:trHeight w:val="467" w:hRule="atLeast"/>
          <w:tblHeader/>
        </w:trPr>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序号</w:t>
            </w:r>
          </w:p>
        </w:tc>
        <w:tc>
          <w:tcPr>
            <w:tcW w:w="194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类别</w:t>
            </w:r>
          </w:p>
        </w:tc>
        <w:tc>
          <w:tcPr>
            <w:tcW w:w="226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产品、技术名称</w:t>
            </w:r>
          </w:p>
        </w:tc>
        <w:tc>
          <w:tcPr>
            <w:tcW w:w="326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适用范围</w:t>
            </w:r>
          </w:p>
        </w:tc>
      </w:tr>
      <w:tr>
        <w:tblPrEx>
          <w:tblCellMar>
            <w:top w:w="0" w:type="dxa"/>
            <w:left w:w="108" w:type="dxa"/>
            <w:bottom w:w="0" w:type="dxa"/>
            <w:right w:w="108" w:type="dxa"/>
          </w:tblCellMar>
        </w:tblPrEx>
        <w:trPr>
          <w:trHeight w:val="636"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w:t>
            </w:r>
          </w:p>
        </w:tc>
        <w:tc>
          <w:tcPr>
            <w:tcW w:w="194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装配式建筑结构部品</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装配式钢结构体系</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城镇、农村装配式建筑工程</w:t>
            </w:r>
          </w:p>
        </w:tc>
      </w:tr>
      <w:tr>
        <w:tblPrEx>
          <w:tblCellMar>
            <w:top w:w="0" w:type="dxa"/>
            <w:left w:w="108" w:type="dxa"/>
            <w:bottom w:w="0" w:type="dxa"/>
            <w:right w:w="108" w:type="dxa"/>
          </w:tblCellMar>
        </w:tblPrEx>
        <w:trPr>
          <w:trHeight w:val="624"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w:t>
            </w:r>
          </w:p>
        </w:tc>
        <w:tc>
          <w:tcPr>
            <w:tcW w:w="1940" w:type="dxa"/>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高性能混凝土、高强钢筋、高强螺栓等</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钢结构和装配式混凝土结构建筑工程</w:t>
            </w:r>
          </w:p>
        </w:tc>
      </w:tr>
      <w:tr>
        <w:tblPrEx>
          <w:tblCellMar>
            <w:top w:w="0" w:type="dxa"/>
            <w:left w:w="108" w:type="dxa"/>
            <w:bottom w:w="0" w:type="dxa"/>
            <w:right w:w="108" w:type="dxa"/>
          </w:tblCellMar>
        </w:tblPrEx>
        <w:trPr>
          <w:trHeight w:val="1248"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w:t>
            </w:r>
          </w:p>
        </w:tc>
        <w:tc>
          <w:tcPr>
            <w:tcW w:w="194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装配式围护部品</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装配式墙板自保温体系、预制内外墙体、隔热安全节能膜、屋面防水保温系统</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预制混凝土结构、钢结构保温工程</w:t>
            </w:r>
          </w:p>
        </w:tc>
      </w:tr>
      <w:tr>
        <w:tblPrEx>
          <w:tblCellMar>
            <w:top w:w="0" w:type="dxa"/>
            <w:left w:w="108" w:type="dxa"/>
            <w:bottom w:w="0" w:type="dxa"/>
            <w:right w:w="108" w:type="dxa"/>
          </w:tblCellMar>
        </w:tblPrEx>
        <w:trPr>
          <w:trHeight w:val="936"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w:t>
            </w:r>
          </w:p>
        </w:tc>
        <w:tc>
          <w:tcPr>
            <w:tcW w:w="1940" w:type="dxa"/>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专用砂浆、界面剂、粘结剂、新型防水材料</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围护结构、保温结构工程和装配式建筑构件节点连接</w:t>
            </w:r>
          </w:p>
        </w:tc>
      </w:tr>
      <w:tr>
        <w:tblPrEx>
          <w:tblCellMar>
            <w:top w:w="0" w:type="dxa"/>
            <w:left w:w="108" w:type="dxa"/>
            <w:bottom w:w="0" w:type="dxa"/>
            <w:right w:w="108" w:type="dxa"/>
          </w:tblCellMar>
        </w:tblPrEx>
        <w:trPr>
          <w:trHeight w:val="1248"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5</w:t>
            </w:r>
          </w:p>
        </w:tc>
        <w:tc>
          <w:tcPr>
            <w:tcW w:w="1940"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全装修部品</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中高密度板、防火板、免漆生态板、装饰线条、高档复合地板、环保装饰板等</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建筑全装修</w:t>
            </w:r>
          </w:p>
        </w:tc>
      </w:tr>
      <w:tr>
        <w:tblPrEx>
          <w:tblCellMar>
            <w:top w:w="0" w:type="dxa"/>
            <w:left w:w="108" w:type="dxa"/>
            <w:bottom w:w="0" w:type="dxa"/>
            <w:right w:w="108" w:type="dxa"/>
          </w:tblCellMar>
        </w:tblPrEx>
        <w:trPr>
          <w:trHeight w:val="636"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6</w:t>
            </w:r>
          </w:p>
        </w:tc>
        <w:tc>
          <w:tcPr>
            <w:tcW w:w="1940"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玻璃</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隔热型材、</w:t>
            </w:r>
            <w:r>
              <w:rPr>
                <w:rFonts w:ascii="Times New Roman" w:hAnsi="Times New Roman" w:eastAsia="宋体" w:cs="Times New Roman"/>
                <w:color w:val="000000"/>
                <w:kern w:val="0"/>
                <w:szCs w:val="21"/>
              </w:rPr>
              <w:t>Low-E</w:t>
            </w:r>
            <w:r>
              <w:rPr>
                <w:rFonts w:hint="eastAsia" w:ascii="Times New Roman" w:hAnsi="Times New Roman" w:eastAsia="宋体" w:cs="Times New Roman"/>
                <w:color w:val="000000"/>
                <w:kern w:val="0"/>
                <w:szCs w:val="21"/>
              </w:rPr>
              <w:t>玻璃、中（真）空玻璃</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节能建筑门窗、玻璃幕墙、超低能耗建筑用窗等</w:t>
            </w:r>
          </w:p>
        </w:tc>
      </w:tr>
      <w:tr>
        <w:tblPrEx>
          <w:tblCellMar>
            <w:top w:w="0" w:type="dxa"/>
            <w:left w:w="108" w:type="dxa"/>
            <w:bottom w:w="0" w:type="dxa"/>
            <w:right w:w="108" w:type="dxa"/>
          </w:tblCellMar>
        </w:tblPrEx>
        <w:trPr>
          <w:trHeight w:val="1248"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7</w:t>
            </w:r>
          </w:p>
        </w:tc>
        <w:tc>
          <w:tcPr>
            <w:tcW w:w="194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墙材</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蒸压加气混凝土板材、石膏板材、建筑隔墙用轻质条板等非砌筑墙材</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民用与工业建筑非承重墙体</w:t>
            </w:r>
          </w:p>
        </w:tc>
      </w:tr>
      <w:tr>
        <w:tblPrEx>
          <w:tblCellMar>
            <w:top w:w="0" w:type="dxa"/>
            <w:left w:w="108" w:type="dxa"/>
            <w:bottom w:w="0" w:type="dxa"/>
            <w:right w:w="108" w:type="dxa"/>
          </w:tblCellMar>
        </w:tblPrEx>
        <w:trPr>
          <w:trHeight w:val="624"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8</w:t>
            </w:r>
          </w:p>
        </w:tc>
        <w:tc>
          <w:tcPr>
            <w:tcW w:w="1940" w:type="dxa"/>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粉煤灰、脱硫石膏等综合利用技术</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非烧结、非砌筑墙材材料</w:t>
            </w:r>
          </w:p>
        </w:tc>
      </w:tr>
      <w:tr>
        <w:tblPrEx>
          <w:tblCellMar>
            <w:top w:w="0" w:type="dxa"/>
            <w:left w:w="108" w:type="dxa"/>
            <w:bottom w:w="0" w:type="dxa"/>
            <w:right w:w="108" w:type="dxa"/>
          </w:tblCellMar>
        </w:tblPrEx>
        <w:trPr>
          <w:trHeight w:val="624"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9</w:t>
            </w:r>
          </w:p>
        </w:tc>
        <w:tc>
          <w:tcPr>
            <w:tcW w:w="1940" w:type="dxa"/>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轻型保温砌块、保温材料</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新农村建设和绿色农房建设</w:t>
            </w:r>
          </w:p>
        </w:tc>
      </w:tr>
      <w:tr>
        <w:tblPrEx>
          <w:tblCellMar>
            <w:top w:w="0" w:type="dxa"/>
            <w:left w:w="108" w:type="dxa"/>
            <w:bottom w:w="0" w:type="dxa"/>
            <w:right w:w="108" w:type="dxa"/>
          </w:tblCellMar>
        </w:tblPrEx>
        <w:trPr>
          <w:trHeight w:val="624"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10</w:t>
            </w:r>
          </w:p>
        </w:tc>
        <w:tc>
          <w:tcPr>
            <w:tcW w:w="1940" w:type="dxa"/>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可再生材料</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建筑垃圾资源化利用技术</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建筑工程、道路工程、水利工程和市政工程等</w:t>
            </w:r>
          </w:p>
        </w:tc>
      </w:tr>
      <w:tr>
        <w:tblPrEx>
          <w:tblCellMar>
            <w:top w:w="0" w:type="dxa"/>
            <w:left w:w="108" w:type="dxa"/>
            <w:bottom w:w="0" w:type="dxa"/>
            <w:right w:w="108" w:type="dxa"/>
          </w:tblCellMar>
        </w:tblPrEx>
        <w:trPr>
          <w:trHeight w:val="1560"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11</w:t>
            </w:r>
          </w:p>
        </w:tc>
        <w:tc>
          <w:tcPr>
            <w:tcW w:w="1940" w:type="dxa"/>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透水路面砖（板）、透水型多功能混凝土植草砖、透水水泥混凝土路面、透水沥青混凝土</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建筑小区、公园人行道，广场，停车场等路面，轻型车辆车行道以及各种体育设施的地面</w:t>
            </w:r>
          </w:p>
        </w:tc>
      </w:tr>
      <w:tr>
        <w:tblPrEx>
          <w:tblCellMar>
            <w:top w:w="0" w:type="dxa"/>
            <w:left w:w="108" w:type="dxa"/>
            <w:bottom w:w="0" w:type="dxa"/>
            <w:right w:w="108" w:type="dxa"/>
          </w:tblCellMar>
        </w:tblPrEx>
        <w:trPr>
          <w:trHeight w:val="624"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12</w:t>
            </w:r>
          </w:p>
        </w:tc>
        <w:tc>
          <w:tcPr>
            <w:tcW w:w="1940" w:type="dxa"/>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塑料排水管</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建筑与小区、广场、公园等区域的雨水收集利用</w:t>
            </w:r>
          </w:p>
        </w:tc>
      </w:tr>
      <w:tr>
        <w:tblPrEx>
          <w:tblCellMar>
            <w:top w:w="0" w:type="dxa"/>
            <w:left w:w="108" w:type="dxa"/>
            <w:bottom w:w="0" w:type="dxa"/>
            <w:right w:w="108" w:type="dxa"/>
          </w:tblCellMar>
        </w:tblPrEx>
        <w:trPr>
          <w:trHeight w:val="936"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13</w:t>
            </w:r>
          </w:p>
        </w:tc>
        <w:tc>
          <w:tcPr>
            <w:tcW w:w="1940" w:type="dxa"/>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节能机电设备</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家用太阳能热水系统、集中太阳能热水系统</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居住建筑和公共建筑</w:t>
            </w:r>
          </w:p>
        </w:tc>
      </w:tr>
      <w:tr>
        <w:tblPrEx>
          <w:tblCellMar>
            <w:top w:w="0" w:type="dxa"/>
            <w:left w:w="108" w:type="dxa"/>
            <w:bottom w:w="0" w:type="dxa"/>
            <w:right w:w="108" w:type="dxa"/>
          </w:tblCellMar>
        </w:tblPrEx>
        <w:trPr>
          <w:trHeight w:val="936"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14</w:t>
            </w:r>
          </w:p>
        </w:tc>
        <w:tc>
          <w:tcPr>
            <w:tcW w:w="1940" w:type="dxa"/>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地埋管地源热泵、污水源热泵、空气源热泵</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工业和民用建筑的供热和供冷</w:t>
            </w:r>
          </w:p>
        </w:tc>
      </w:tr>
      <w:tr>
        <w:tblPrEx>
          <w:tblCellMar>
            <w:top w:w="0" w:type="dxa"/>
            <w:left w:w="108" w:type="dxa"/>
            <w:bottom w:w="0" w:type="dxa"/>
            <w:right w:w="108" w:type="dxa"/>
          </w:tblCellMar>
        </w:tblPrEx>
        <w:trPr>
          <w:trHeight w:val="624"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15</w:t>
            </w:r>
          </w:p>
        </w:tc>
        <w:tc>
          <w:tcPr>
            <w:tcW w:w="1940" w:type="dxa"/>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遮阳幕布、室内外遮阳材料、电动窗帘等</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建筑外遮阳、温室大棚遮阳</w:t>
            </w:r>
          </w:p>
        </w:tc>
      </w:tr>
    </w:tbl>
    <w:p>
      <w:pPr>
        <w:pStyle w:val="2"/>
        <w:snapToGrid w:val="0"/>
        <w:spacing w:line="360" w:lineRule="auto"/>
        <w:ind w:firstLine="560" w:firstLineChars="200"/>
        <w:rPr>
          <w:rFonts w:hint="default" w:ascii="Times New Roman" w:hAnsi="Times New Roman" w:cs="Times New Roman"/>
          <w:sz w:val="28"/>
          <w:szCs w:val="28"/>
        </w:rPr>
      </w:pP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2、韶关市绿色建筑产业链发展现状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（1）产业链上游相关产业</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已具备了一批本地技术服务企业，例如韶关市建筑设计研究院、韶关市城规规划设计院、山河建筑审图、宝科绿建等绿色建筑设计、审图、咨询相关企业，但产业规模、技术实力、服务质量等整体水平相对省内其他先进地市，仍有待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（2）产业链中游相关产业</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建筑材料、设备生产方面，韶关市具有较强的竞争力。韶关作为起步建设较早的老工业基地，综合工业基础扎实，冶金、机械、能源、化工、烟草等产业发展突出，轻重工业发展较为均衡，积极推进发展高新技术产业，涉及产业类型较广泛。以“韶关市100家重点工业企业名单”为例，其中直接涉及绿色建筑产业链的工业企业就有27家，包括韶钢、韶能、曲江建浩建材、乐华陶瓷洁具等建材、机械工业企业。</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工程建设方面，韶关本地有广东省五建、韶关住宅建、韶关一建、新城兴，武江建、粤北建设等一批建筑工程施工企业，但对于新型结构体系、装配式施工、新型施工设备、BIM技术等应用深度与广度一般，绿色施工水平仍有待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（3）产业链下游相关产业</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绿色能源运营管理方面，韶关市建筑领域的绿色节能改造咨询服务仍处于起步阶段，既有建筑的合同能源管理应用实例较少。建筑物业单位仍以常规管理为主，对绿色建筑概念理解较浅。在可再生能源利用方面，韶关市是广东省主要的电源基地之一，风能、光能资源优越，目前正致力于打造新能源全产业链，构建以新能源为主体的新型电力系统。2022年5月12日，坐落于华南装备园的2.46 MW分布式光伏发电项目主体工程已全部完工，预计年均发电量约246万度，年节约标煤约886吨，标志着华南装备园迈出了构建绿色、低碳工业经济的第一步。</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建筑拆除回收利用方面，韶关市2020年发布了《韶关市建筑垃圾管理条例》，并组织编制《韶关市生活垃圾及建筑垃圾处理专项规划》(2020-2035)，规范管理建筑垃圾的排放、运输、消纳、利用、处置等行为，鼓励和引导社会投入参与建筑垃圾综合利用和再生资源利用项目，逐步提高建筑垃圾综合利用产品在建设工程项目中的使用比例，鼓励优先使用建筑垃圾综合利用产品。</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3、韶关市绿色建筑产业链发展潜力</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发展”是中国的主要发展理念之一，《广东省绿色建筑条例》的实施，标志着广东绿色建筑进入法制化。在此大趋势下，韶关市绿色建筑的规模、质量必将迎来一波强势增长，由此直接或间接带动绿色建筑相关产业的长足发展，激发产业技术、生态环境、就业人才、经济增长等效应。</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（1）产业技术效应</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绿色建筑法制化、全面化的大背景下，绿色建筑理念需要在规划、设计、建造、运行、拆除的全生命周期内体现。以此为契机，政府可通过政策法规、技术规范等手段引导，首先推动产业链上游的设计院、审图、绿建咨询、绿建检测等各技术服务产业的绿色技术升级。</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上游建筑产业全面绿色化可提供充足的绿色建筑相关产品需求，通过合理的供求关系，为建设、建材、设备生产等中游产业注入一泓有源活水，激发企业竞争和研发积极性，自发进行绿色施工、绿色建材、绿色设备的产品技术升级。</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能源管理咨询、物业管理等下游产业，在绿色建筑全面落实的政策、规范的约束下，能够培育提升更强的绿色服务水平；同时其作为绿色建筑实际使用管理者，对绿色建筑的实际运行效果进行后评估，总结反思问题所在，倒逼上游和中游的产业技术升级。</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绿色建筑产业链的技术创新推进了产业的转型升级，并通过关联效应影响相当数量相关产业的新技术发展，其技术效益改进产业发展的模式既是“质量”的有效提升，也推进了“数量”的积极增长。</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（2）生态环境效应</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作为山水生态特色鲜明的岭南旅游名城，志在打造华南区域性旅游服务基地。韶关突出的自然景观风貌禀赋，绿色建筑的生态发展理念不谋而合。绿色建筑产业链中的材料生产、施工建造、设备运行、自然能源应用等多方面的创新和转型极大提升了生态环境效应，间接促进了韶关生态旅游产业的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 xml:space="preserve">首先，绿色建筑通过釆用新技术、新能源及绿色材料等手段，降低碳排放，减缓热岛效应，改善城市气候和室内微气候，提升建筑内外的生态环境价值。譬如围护结构使用高效保温材料和高性能节能门窗，采用高效节能的空调、电器等用能设备，利用自然采光通风，以及太阳能、地热能等绿色能源，有效减少照明和空调等各类能源消耗等。 </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其次，绿色建筑提倡节约土地和环境宜居，营造自然、舒适的建筑环境。通过合理的土地利用效率（容积率、绿地率、地下开发率）、表层土回收利用等生态补偿、海绵城市等措施，尽量降低工程建设对生态环境的影响。通过合理的建筑布局规划设计，避免日照干扰，根据季节主导风向组织气流避免出现强风区和无风区，交通干线周边建设隔声屏障或合理建筑退线等等，综合改善室外风、光、声、热环境。在景观绿化方面要求采用复层绿化和本土适应性强的植株，鼓励场地内多种植乔木提供遮阴休憩空间，应用屋顶、垂直绿化等打造立体绿化等。</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（3）就业人才效应</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建筑及其产业是对传统建筑及其产业的转型和创新，在这过程中，一方面传统的“建筑工人”向“产业工人”转型，提升了从业人员的综合素质，促进了就业效应；另一方面在绿色建筑产业持续发展过程中，派生出一些新的行业和人才需求，促进了人才使用效应。</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建筑大力推进建筑产业现代化的发展，预制装配建筑极大提高了建筑工业化的水平，随着工厂化生产现场装配的普及，大量现场施工工人需要转变为熟悉应用计算机、懂得机械装备操作的产业技术工人，这种转变将极大地提升相关人员的劳动素质和劳动效率。绿色建筑产业的发展加速新型职业的出现，如绿色建筑设计、建筑节能审计、环保顾问、智能运营等方面的人才和劳动力需求，对原有的产业技术人员和工人提出新要求，需要社会建立相应的培训机构，提供专业化培育服务，培养出合格的绿色建筑人才。</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（4）经济增长效应</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根据《韶关市绿色建筑发展“十四五”规划》：“新建民用建筑全面按照绿色建筑标准进行建设：到2022年，城镇新建民用建筑中绿色建筑面积占比达到80%以上；到2023年，全面实现按照绿色建筑建设。大力发展星级绿色建筑。到2025年，全市一星级及以上绿色建筑面积占当年新增绿色建筑面积的比例超过20%。”</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全市施工许可建设规模2017年、2018年、2019年、2020年分别达到762、667、688、915万平方米。按照“十四五”绿建发展规划的基本级绿色建筑比例和星级绿色建筑比例，预计新增绿色建筑面积可达3700万平方米以上。按照40元每平米的增量成本，可拉动绿色建筑建设增量投资约15亿元。</w:t>
      </w:r>
    </w:p>
    <w:p>
      <w:pPr>
        <w:pStyle w:val="5"/>
        <w:spacing w:before="0" w:after="156" w:afterLines="50" w:line="360" w:lineRule="auto"/>
        <w:rPr>
          <w:rFonts w:ascii="Times New Roman" w:hAnsi="Times New Roman" w:cs="Times New Roman"/>
          <w:sz w:val="28"/>
          <w:szCs w:val="28"/>
        </w:rPr>
      </w:pPr>
      <w:bookmarkStart w:id="78" w:name="_Toc19380"/>
      <w:bookmarkStart w:id="79" w:name="_Toc31276"/>
      <w:r>
        <w:rPr>
          <w:rFonts w:ascii="Times New Roman" w:hAnsi="Times New Roman" w:cs="Times New Roman"/>
          <w:sz w:val="28"/>
          <w:szCs w:val="28"/>
        </w:rPr>
        <w:t>4.1.2 乡村振兴绿色农房建设的辐射产业</w:t>
      </w:r>
      <w:bookmarkEnd w:id="78"/>
      <w:bookmarkEnd w:id="79"/>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1、乡村振兴与绿色农房</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随着城镇化、农业现代化的推进，我国农房建设逐年增加，但普遍存在建筑质量差、缺乏设计、不方便和不舒适等问题，亟待解决。同时，农房实际使用年限短、翻建更新频繁、能耗大能效低，浪费能源资源、破坏环境。</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党的十九大报告提出“乡村振兴战略”，要求加快推进农业农村现代化。改善农村人居环境，建设美丽宜居乡村，是实施乡村振兴战略的一项重要任务。绿色农房则是这一战略实施的重要举措。</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农房，是指安全实用、节能减废、经济美观、健康舒适的新型农村住宅。推进绿色农房建设，有利于提高农房建筑质量，改善农房舒适性和安全性，强化农房节能减排；有利于延长农房使用寿命，帮助农民减支增收，提升农村宜居性，加快美丽乡村建设；有利于带动绿色建材下乡，促进区域大气污染防治、产业结构调整和经济转型升级。</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2、韶关绿色农房与乡村风貌发展现状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 xml:space="preserve">近年来，韶关市认真落实省委、省政府关于农房管控和乡村风貌提升、建设生态宜居美丽乡村等工作要求，把建设生态宜居的美丽乡村作为乡村振兴战略的重要任务，把农村人居环境整治作为乡村振兴的一场硬仗，陆续出台《关于对标三年取得重大进展硬任务扎实推动乡村振兴的实施方案》《韶关市关于深入推进“千村示范、万村整治”工程的行动方案》《韶关市农村“厕所革命”实施方案》《韶关市乡镇（镇街）提升五年行动计划实施方案》《韶关市乡镇（镇街）试点镇“三项整治”推进评选工作方案》《韶关市县城品质提升“439”三年行动计划实施方案》等制度文件，扎实搞好农村人居环境整治，落实绿色农房“安全实用、节能减废、经济美观、健康舒适”的内涵，全面推进美丽乡村建设。2021年出台的《韶关市农村住房建设管理条例》明确指出：“农村住房建设应当注重传统村落和历史建筑及生态环境的保护，减少对森林植被、山水景观、乡村风貌等的破坏。鼓励和支持农村村民建房使用节能环保的新技术、新工艺和新材料。” </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特别是在村庄人居环境整治上，韶关注重全域谋划、整体推进，用点串线连片的方式提升农村风貌，推动乡村从“一处美”到“全域美”。以阅丹公路为例，这条“线”便串起了沿线33个村小组整治的“点”，并将丹霞山美景与乡村田园风光连接起来。统一粉刷白墙灰瓦，融入红色文化、丹霞文化等元素；改造沿线可视范围外立面，将丹霞山景点融入到村标、绿化、小公园等。</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针对连接乡村和县城之间的人居环境在生活基础设施、文化娱乐配套项目等方面出现的短板，2018年韶关市率先在全省启动了“139”乡镇提升工作，使韶关的乡镇面貌焕然一新，居民生产生活更加便利，乡村公共基础设施不断完善，群众关心的热点难点问题得到有效解决，镇（街）宜居水平和群众幸福指数稳步提升。韶关市已把“139”行动升级成“139+”美丽圩镇建设，以“加快农业转移人口市民化”为重要抓手，依托乡镇（镇街）提升“139”行动计划，增加“四镇同创”（全面开展文明村镇、卫生乡镇、平安乡镇、园林城镇4大创建工作）、提升四种能力（提升产业带动能力、提升公共服务能力、提升乡村治理能力、提升文化传承能力）等内容，用2年时间把圩镇建设成为服务农民的区域中心，以镇域发展带动乡村振兴，推动镇村联动、同建、同治、同美。近年来，始兴县全面开展县城品质提升“439”行动，结合县城老城新城交错的实际情况，深入开展老旧小区与背街小巷环境卫生整治，进一步完善城区基础设施，不断优化城区交通路网，着力打造重要门户节点，县城市容环境得到极大改善，城市治理水平得到极大提高，群众幸福感、获得感得到极大提升。</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3、绿色农房辐射产业发展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未来韶关市将进一步落实乡村振兴战略和绿色农房建设，继续带动辐射本地建材、建设、商贸、旅游等相关产业的发展，立足村庄现有基础开展乡村建设，因地制宜、有力有序推进乡村建设行动，不盲目拆旧村、建新村，不超越发展阶段搞大融资、大开发、大建设。对特色民族村寨保护，实施“拯救老屋行动”。推动村庄小型建设项目简易审批，规范项目管理，提高资金绩效。接续实施农村人居环境整治提升行动，推进农村生活污水治理和生活垃圾源头分类减量。深入实施村庄清洁行动和绿化美化行动，持续推进乡村风貌提升。扎实开展重点领域农村基础设施建设，加快提升乡村基本公共服务水平，大力推进数字乡村建设。</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结合绿色农房建设带动绿色建材深入乡村，引导农村建材市场向绿色消费升级，推广适合本地绿色农房建设、经济的绿色建材，如节能门窗、轻型保温砌块、陶瓷薄砖、节水洁具、水性涂料等绿色建材产品，提倡低污染、高环保的家具和装饰建材，拉动本地相关建材、家具企业和相关经销产业的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积极推广高效、节能的绿色用能设备，如空调、炊具、太阳能热水器、空气能热水器，促进家电消费，释放农村消费潜力。</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此外，通过建设绿色农房提升乡村风貌，还可间接带动韶关休闲农业、生态旅游产业发展。</w:t>
      </w:r>
    </w:p>
    <w:p>
      <w:pPr>
        <w:pStyle w:val="5"/>
        <w:spacing w:before="0" w:after="156" w:afterLines="50" w:line="360" w:lineRule="auto"/>
        <w:rPr>
          <w:rFonts w:ascii="Times New Roman" w:hAnsi="Times New Roman" w:cs="Times New Roman"/>
          <w:sz w:val="28"/>
          <w:szCs w:val="28"/>
        </w:rPr>
      </w:pPr>
      <w:bookmarkStart w:id="80" w:name="_Toc27954"/>
      <w:bookmarkStart w:id="81" w:name="_Toc27799"/>
      <w:r>
        <w:rPr>
          <w:rFonts w:ascii="Times New Roman" w:hAnsi="Times New Roman" w:cs="Times New Roman"/>
          <w:sz w:val="28"/>
          <w:szCs w:val="28"/>
        </w:rPr>
        <w:t>4.1.3 建筑可再生能源应用产品需求</w:t>
      </w:r>
      <w:bookmarkEnd w:id="80"/>
      <w:bookmarkEnd w:id="81"/>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1、韶关市建筑领域可再生能源应用现状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可再生能源资料禀赋优秀，作为广东省重要的电源基地之一，风力、光伏、生物质等各类可再生能源均有较好的应用。截至2020年12月，境内发电装机容量788.43万千瓦，其中生物质、垃圾焚烧、沼气发电装机容量38.9万千瓦，光伏发电装机容量75.6万千瓦，风电装机容量35.83万千瓦，新能源占比达19.1%。</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建筑领域，韶关市可再生能源应用规模和种类相对较少，主要为太阳能热水、太阳能光伏建筑一体化应用。据统计，“十三五”期间，韶关建成可再生能源建筑应用项目面积累计达到54.3万平方米；新增个人住宅分布式光伏发电项目1634项，总装机容量18.72兆瓦。</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2、建筑可再生能源应用产品需求</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根据韶关市绿色建筑发展“十四五”规划，“十四五”期间目标新增可再生能源应用面积20万平方米、太阳能光电建筑应用装机容量5兆瓦。</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在太阳能热水方面，推进酒店、医院、宿舍等有稳定热水需求的新建建筑应用太阳能热水系统，辅助加热设备优先选择空气源热泵等节能设备，避免“高质低用”的直接电加热。</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太阳能光伏方面，鼓励有安装条件的各类建筑采用分布式光伏并网发电，尤其是建筑高度低、屋面面积大的工业厂房，并通过政策引导引入合同能源管理机制，提高建设单位积极性。地下停车场可采用光伏+LED照明系统，直接利用光伏所发的直流电供应低耗电的LED灯照明，也具有较好的效益。</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3、建筑可再生能源相关产业发展潜力</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目前正与中国三峡新能源（集团）股份有限公司和明阳智慧能源集团股份公司达成合作协议，计划在韶关建设一个光伏产业园，在韶关市有三个区县被国家设为整县(市、区)屋顶分布式光伏开发试点单位、全市光伏建设量将快速增长的情况下，促进韶关市相关光伏配套零部件的生产企业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此外，光伏玻璃板的主要原材料为高纯石英砂，韶关市石英资源潜力巨大，可间接拉动光伏原材料供应产业的发展。全市石英资源主要分布在始兴、乳源、仁化、翁源、南雄等地，推测资源量1715万吨。其中，仁化县长江镇塘洞村及周边地区的石英矿资源量非常丰富，矿石属于低铁超白，已探明石英矿石量达1000万吨。</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韶关市作为老工业基地，拥有较健全的的工业体系基础，可积极统筹利用新能源资源和开发条件，依托新能源项目和矿产资源情况导入新能源产业，加强新能源产业链发展。</w:t>
      </w:r>
    </w:p>
    <w:p>
      <w:pPr>
        <w:pStyle w:val="5"/>
        <w:spacing w:before="0" w:after="156" w:afterLines="50" w:line="360" w:lineRule="auto"/>
        <w:rPr>
          <w:rFonts w:ascii="Times New Roman" w:hAnsi="Times New Roman" w:cs="Times New Roman"/>
          <w:sz w:val="28"/>
          <w:szCs w:val="28"/>
        </w:rPr>
      </w:pPr>
      <w:bookmarkStart w:id="82" w:name="_Toc24515"/>
      <w:bookmarkStart w:id="83" w:name="_Toc26836"/>
      <w:r>
        <w:rPr>
          <w:rFonts w:ascii="Times New Roman" w:hAnsi="Times New Roman" w:cs="Times New Roman"/>
          <w:sz w:val="28"/>
          <w:szCs w:val="28"/>
        </w:rPr>
        <w:t>4.1.4 交通沿线风貌提升行动的产业支撑</w:t>
      </w:r>
      <w:bookmarkEnd w:id="82"/>
      <w:bookmarkEnd w:id="83"/>
      <w:r>
        <w:rPr>
          <w:rFonts w:ascii="Times New Roman" w:hAnsi="Times New Roman" w:cs="Times New Roman"/>
          <w:sz w:val="28"/>
          <w:szCs w:val="28"/>
        </w:rPr>
        <w:t xml:space="preserve"> </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1、交通沿线风貌工作现状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是广东省北大门，是粤港澳地区辐射内陆腹地的“黄金通道”，是展示全省形象的重要窗口。打造具有粤北特色的高铁、高速公路等交通干线沿线景观带，对于展现广东形象、展现韶关形象意义重大。而良好的人居环境，也是广大农民的殷切期盼。2018年，韶关市决策启动全市主要交通干线沿线村庄房屋立面整治专项工作，要求各地各部门共同努力，提升韶关作为广东“北大门”的城市形象。</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以“一盘棋”串点连线成片打造提升农村风貌，推动乡村从“一处美”到“全域美”。在串点连线上，实施1000个自然村整洁达标建设民生实事工程，重点围绕沿交通线、沿边界线、沿旅游景区、沿城市郊区等“四沿”地区建设美丽乡村廊道，每个县（市、区）打造一批乡村风貌精品村、建成1条以上体现粤北岭南风貌特色的美丽乡村风貌示范带。在连线成片打造上，全市突出不同地区的传统建筑风貌特点、少数民族建筑特色，通过文化的传承让乡村风貌有“魂”有“根”，打造出“五彩瑶乡”“丹霞彩虹”“画里清化”“千年驿道·广府原乡”等7个示范片，形成泛徽、广府、客家、瑶族等极具韶关特色的传统建筑风貌体系。在聚片成面上，全市扎实推进县城提升“439”、乡镇（镇街）提升“139”工程、“创文”工作，着力增强城市可持续发展能力和综合承载功能。</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2、产业支撑</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初步分析可知，交通沿线风貌提升对产业的推动由两方面组成，一是直接促进建材、建设、花卉农业等相关产业发展，二是间接促进旅游业发展。</w:t>
      </w:r>
    </w:p>
    <w:p>
      <w:pPr>
        <w:pStyle w:val="5"/>
        <w:spacing w:before="0" w:after="156" w:afterLines="50" w:line="360" w:lineRule="auto"/>
        <w:rPr>
          <w:rFonts w:ascii="Times New Roman" w:hAnsi="Times New Roman" w:cs="Times New Roman"/>
          <w:sz w:val="28"/>
          <w:szCs w:val="28"/>
        </w:rPr>
      </w:pPr>
      <w:bookmarkStart w:id="84" w:name="_Toc1759"/>
      <w:bookmarkStart w:id="85" w:name="_Toc24979"/>
      <w:r>
        <w:rPr>
          <w:rFonts w:ascii="Times New Roman" w:hAnsi="Times New Roman" w:cs="Times New Roman"/>
          <w:sz w:val="28"/>
          <w:szCs w:val="28"/>
        </w:rPr>
        <w:t>4.1.5 旧建筑、社区、公共设施升级改造中相关产业配套分析</w:t>
      </w:r>
      <w:bookmarkEnd w:id="84"/>
      <w:bookmarkEnd w:id="85"/>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1、韶关旧改发展现状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作为2017年住建部确定的全国15个城市老旧小区改造试点城市之一，出台相关政策，《韶关市市区“三旧”改造实施细则（试行）》《2019年韶关市区老旧小区示范改造工作方案》《韶关市区老旧小区改造项目清单居民选项表（菜单式）》。韶关市作为全国15个老旧小区改造试点城市之一，遵循“先民生后提升”思路，出台系列配套政策文件，将老旧小区改造分为基本完善类和优化提升类，着力优先补齐供气、线路、环卫设施等民生方面短板，对小区电梯、停车场等方面逐步优化升级。2020年，“实施70个老旧小区改造”被列入了韶关市政府为民办实事项目中，截至2020年底，市区老旧小区改造工作不仅按时完成30个老旧小区示范改造工作，还新开工了46个老旧小区改造，超额完成该项为民办实事任务。</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2、老旧建筑、社区、公共设施主要改造内容</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市政设施配套：供水管网，管道燃气、雨污分流、弱电管网；新能源汽车配套设施（韶能集团，充电桩）</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公共环境：小区园林美化、康体休闲设施、围墙和大门、停车位、区间道路、消防设施、路灯改造提升。</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建筑本体：围护结构节能改造、加装电梯、增加无障碍设施</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3、产业促进作用</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老旧建筑改造涉及产业包括建材、施工、物业服务等，对有条件的小区进行充电桩加装也能带动新能源汽车销售、生产等环节。</w:t>
      </w:r>
    </w:p>
    <w:p>
      <w:pPr>
        <w:pStyle w:val="5"/>
        <w:spacing w:before="0" w:after="156" w:afterLines="50" w:line="360" w:lineRule="auto"/>
        <w:rPr>
          <w:rFonts w:ascii="Times New Roman" w:hAnsi="Times New Roman" w:cs="Times New Roman"/>
          <w:sz w:val="28"/>
          <w:szCs w:val="28"/>
        </w:rPr>
      </w:pPr>
      <w:bookmarkStart w:id="86" w:name="_Toc9771"/>
      <w:r>
        <w:rPr>
          <w:rFonts w:ascii="Times New Roman" w:hAnsi="Times New Roman" w:cs="Times New Roman"/>
          <w:sz w:val="28"/>
          <w:szCs w:val="28"/>
        </w:rPr>
        <w:t>4.1.6 产业配合设想与规划</w:t>
      </w:r>
      <w:bookmarkEnd w:id="86"/>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1、创新链</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建材创新链是围绕建筑市场应用需求，由政府、企业、高校科研院所以及金融机构、科技中介服务等，在市场驱动和技术拉动下，通过整合创新资源，推进协同创新，以创新企业为核心、产业园区为依托、绿色产品为主体、应用技术为支撑，共融营造的创新创业生态环境。创新链体现了科技成果从创意的产生到工业化生产销售的整个过程，是绿色建材产业体系不断发展的动力。重点通过利用政产学研协同创新的产业模式，推动装配式建筑部品、玻璃木材精深加工、利废环境功能材料和节能机电设备等产业核心制造技术的研发与转化。</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935" distR="114935">
            <wp:extent cx="4660900" cy="3124835"/>
            <wp:effectExtent l="0" t="0" r="0" b="14605"/>
            <wp:docPr id="22" name="图示 2"/>
            <wp:cNvGraphicFramePr/>
            <a:graphic xmlns:a="http://schemas.openxmlformats.org/drawingml/2006/main">
              <a:graphicData uri="http://schemas.openxmlformats.org/drawingml/2006/picture">
                <pic:pic xmlns:pic="http://schemas.openxmlformats.org/drawingml/2006/picture">
                  <pic:nvPicPr>
                    <pic:cNvPr id="22" name="图示 2"/>
                    <pic:cNvPicPr/>
                  </pic:nvPicPr>
                  <pic:blipFill>
                    <a:blip r:embed="rId35"/>
                    <a:srcRect l="-25533" r="-25533"/>
                    <a:stretch>
                      <a:fillRect/>
                    </a:stretch>
                  </pic:blipFill>
                  <pic:spPr>
                    <a:xfrm>
                      <a:off x="0" y="0"/>
                      <a:ext cx="4660900" cy="3124835"/>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图4.1-2 绿色建材创新链示意图</w:t>
      </w:r>
    </w:p>
    <w:p>
      <w:pPr>
        <w:pStyle w:val="26"/>
        <w:snapToGrid w:val="0"/>
        <w:spacing w:after="0" w:line="360" w:lineRule="auto"/>
        <w:ind w:left="0" w:leftChars="0" w:firstLine="562" w:firstLineChars="200"/>
        <w:rPr>
          <w:rFonts w:eastAsia="宋体" w:cs="Times New Roman"/>
          <w:sz w:val="28"/>
          <w:szCs w:val="28"/>
        </w:rPr>
      </w:pPr>
      <w:r>
        <w:rPr>
          <w:rFonts w:eastAsia="宋体" w:cs="Times New Roman"/>
          <w:b/>
          <w:bCs/>
          <w:sz w:val="28"/>
          <w:szCs w:val="28"/>
        </w:rPr>
        <w:t>建筑市场应用</w:t>
      </w:r>
      <w:r>
        <w:rPr>
          <w:rFonts w:eastAsia="宋体" w:cs="Times New Roman"/>
          <w:sz w:val="28"/>
          <w:szCs w:val="28"/>
        </w:rPr>
        <w:t>：应用市场正逐渐成为创新体系的新中心和科技创新活动的重要战场，各级政府、企业、高校科研机构以及金融、中介等机构都必须围绕建筑应用市场需求，调整创新模式，形成以建筑应用需求为中心、社会为舞台的面向知识社会、以人为本的创新模式。</w:t>
      </w:r>
    </w:p>
    <w:p>
      <w:pPr>
        <w:pStyle w:val="26"/>
        <w:snapToGrid w:val="0"/>
        <w:spacing w:after="0" w:line="360" w:lineRule="auto"/>
        <w:ind w:left="0" w:leftChars="0" w:firstLine="562" w:firstLineChars="200"/>
        <w:rPr>
          <w:rFonts w:eastAsia="宋体" w:cs="Times New Roman"/>
          <w:sz w:val="28"/>
          <w:szCs w:val="28"/>
        </w:rPr>
      </w:pPr>
      <w:r>
        <w:rPr>
          <w:rFonts w:eastAsia="宋体" w:cs="Times New Roman"/>
          <w:b/>
          <w:bCs/>
          <w:sz w:val="28"/>
          <w:szCs w:val="28"/>
        </w:rPr>
        <w:t>政府</w:t>
      </w:r>
      <w:r>
        <w:rPr>
          <w:rFonts w:eastAsia="宋体" w:cs="Times New Roman"/>
          <w:sz w:val="28"/>
          <w:szCs w:val="28"/>
        </w:rPr>
        <w:t>：由政府牵头推动开放创新平台搭建并出台相关政策来推动一体化发展，在强有力的政策保证下使产学研合作围绕应用转化和创新价值实现得到快速发展。</w:t>
      </w:r>
    </w:p>
    <w:p>
      <w:pPr>
        <w:pStyle w:val="26"/>
        <w:snapToGrid w:val="0"/>
        <w:spacing w:after="0" w:line="360" w:lineRule="auto"/>
        <w:ind w:left="0" w:leftChars="0" w:firstLine="562" w:firstLineChars="200"/>
        <w:rPr>
          <w:rFonts w:eastAsia="宋体" w:cs="Times New Roman"/>
          <w:sz w:val="28"/>
          <w:szCs w:val="28"/>
        </w:rPr>
      </w:pPr>
      <w:r>
        <w:rPr>
          <w:rFonts w:eastAsia="宋体" w:cs="Times New Roman"/>
          <w:b/>
          <w:bCs/>
          <w:sz w:val="28"/>
          <w:szCs w:val="28"/>
        </w:rPr>
        <w:t>企业：</w:t>
      </w:r>
      <w:r>
        <w:rPr>
          <w:rFonts w:eastAsia="宋体" w:cs="Times New Roman"/>
          <w:sz w:val="28"/>
          <w:szCs w:val="28"/>
        </w:rPr>
        <w:t>在市场经济的前提下企业寻找更加适合企业发展的合作方式，以科研机构、高校的人才、研究成果输出作为企业发展的原动力。同时也为高校、研究机构提供研究和人才开发的利用资源。</w:t>
      </w:r>
    </w:p>
    <w:p>
      <w:pPr>
        <w:pStyle w:val="26"/>
        <w:snapToGrid w:val="0"/>
        <w:spacing w:after="0" w:line="360" w:lineRule="auto"/>
        <w:ind w:left="0" w:leftChars="0" w:firstLine="562" w:firstLineChars="200"/>
        <w:rPr>
          <w:rFonts w:eastAsia="宋体" w:cs="Times New Roman"/>
          <w:sz w:val="28"/>
          <w:szCs w:val="28"/>
        </w:rPr>
      </w:pPr>
      <w:r>
        <w:rPr>
          <w:rFonts w:eastAsia="宋体" w:cs="Times New Roman"/>
          <w:b/>
          <w:bCs/>
          <w:sz w:val="28"/>
          <w:szCs w:val="28"/>
        </w:rPr>
        <w:t>高校科研机构</w:t>
      </w:r>
      <w:r>
        <w:rPr>
          <w:rFonts w:eastAsia="宋体" w:cs="Times New Roman"/>
          <w:sz w:val="28"/>
          <w:szCs w:val="28"/>
        </w:rPr>
        <w:t>：借助社会企业的良好平台及资源，高校科研机构在技术上的开发的同时完成对研究方向的规划，以单纯的技术型研究机构转型成技术、方向性兼顾的研究结构，同时研究成果将推动企业以及行业的整体发展。</w:t>
      </w:r>
    </w:p>
    <w:p>
      <w:pPr>
        <w:pStyle w:val="26"/>
        <w:snapToGrid w:val="0"/>
        <w:spacing w:after="0" w:line="360" w:lineRule="auto"/>
        <w:ind w:left="0" w:leftChars="0" w:firstLine="562" w:firstLineChars="200"/>
        <w:rPr>
          <w:rFonts w:eastAsia="宋体" w:cs="Times New Roman"/>
          <w:sz w:val="28"/>
          <w:szCs w:val="28"/>
        </w:rPr>
      </w:pPr>
      <w:r>
        <w:rPr>
          <w:rFonts w:eastAsia="宋体" w:cs="Times New Roman"/>
          <w:b/>
          <w:bCs/>
          <w:sz w:val="28"/>
          <w:szCs w:val="28"/>
        </w:rPr>
        <w:t>金融机构：</w:t>
      </w:r>
      <w:r>
        <w:rPr>
          <w:rFonts w:eastAsia="宋体" w:cs="Times New Roman"/>
          <w:sz w:val="28"/>
          <w:szCs w:val="28"/>
        </w:rPr>
        <w:t>通过促进科技开发、成果转化和高新技术产业发展的一系列金融工具、金融制度、金融政策与金融服务的系统性、创新性安排，向科学与技术创新活动提供融资资源。</w:t>
      </w:r>
    </w:p>
    <w:p>
      <w:pPr>
        <w:pStyle w:val="26"/>
        <w:snapToGrid w:val="0"/>
        <w:spacing w:after="0" w:line="360" w:lineRule="auto"/>
        <w:ind w:left="0" w:leftChars="0" w:firstLine="562" w:firstLineChars="200"/>
        <w:rPr>
          <w:rFonts w:eastAsia="宋体" w:cs="Times New Roman"/>
          <w:sz w:val="28"/>
          <w:szCs w:val="28"/>
        </w:rPr>
      </w:pPr>
      <w:r>
        <w:rPr>
          <w:rFonts w:eastAsia="宋体" w:cs="Times New Roman"/>
          <w:b/>
          <w:bCs/>
          <w:sz w:val="28"/>
          <w:szCs w:val="28"/>
        </w:rPr>
        <w:t>科技中介机构：</w:t>
      </w:r>
      <w:r>
        <w:rPr>
          <w:rFonts w:eastAsia="宋体" w:cs="Times New Roman"/>
          <w:sz w:val="28"/>
          <w:szCs w:val="28"/>
        </w:rPr>
        <w:t>通过搭建技术的交流平台，利用金融机构等第三方力量，实现政产学研各方对接，沟通科技信息互通和配置科技资源，改善技术供给需求不足，降低技术交易成本，使创新活动成果能够快速进入市场。</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2、服务链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服务链是以信息技术、物流技术、系统工程等现代科学技术为基础，以提高绿色建材产业运行效率为目标，包含商贸、会展、物流、金融、推广、认证、资讯及其他配套产业在内的生产性服务业网络。绿色建材服务链贯穿于产品研发、生产、流通、分配、消费等</w:t>
      </w:r>
      <w:r>
        <w:fldChar w:fldCharType="begin"/>
      </w:r>
      <w:r>
        <w:instrText xml:space="preserve"> HYPERLINK "https://baike.baidu.com/item/%E7%A4%BE%E4%BC%9A%E5%86%8D%E7%94%9F%E4%BA%A7" \t "_blank" </w:instrText>
      </w:r>
      <w:r>
        <w:fldChar w:fldCharType="separate"/>
      </w:r>
      <w:r>
        <w:rPr>
          <w:rFonts w:eastAsia="宋体" w:cs="Times New Roman"/>
          <w:sz w:val="28"/>
          <w:szCs w:val="28"/>
        </w:rPr>
        <w:t>社会再生产</w:t>
      </w:r>
      <w:r>
        <w:rPr>
          <w:rFonts w:eastAsia="宋体" w:cs="Times New Roman"/>
          <w:sz w:val="28"/>
          <w:szCs w:val="28"/>
        </w:rPr>
        <w:fldChar w:fldCharType="end"/>
      </w:r>
      <w:r>
        <w:rPr>
          <w:rFonts w:eastAsia="宋体" w:cs="Times New Roman"/>
          <w:sz w:val="28"/>
          <w:szCs w:val="28"/>
        </w:rPr>
        <w:t>环节之中，是绿色建材产业发挥辐射作用的调配器，也是绿色建材产业发展壮大的基本保障。重点通过整合现有商贸物流资源，发展涵盖线上、线下的绿色建材商贸平台，将打造成为立足广东、辐射湖南、江西的绿色建材商贸城市。</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4257040" cy="2705100"/>
            <wp:effectExtent l="0" t="0" r="0" b="0"/>
            <wp:docPr id="25" name="图示 3"/>
            <wp:cNvGraphicFramePr/>
            <a:graphic xmlns:a="http://schemas.openxmlformats.org/drawingml/2006/main">
              <a:graphicData uri="http://schemas.openxmlformats.org/drawingml/2006/picture">
                <pic:pic xmlns:pic="http://schemas.openxmlformats.org/drawingml/2006/picture">
                  <pic:nvPicPr>
                    <pic:cNvPr id="25" name="图示 3"/>
                    <pic:cNvPicPr/>
                  </pic:nvPicPr>
                  <pic:blipFill>
                    <a:blip r:embed="rId36"/>
                    <a:srcRect l="-32108" r="-32332"/>
                    <a:stretch>
                      <a:fillRect/>
                    </a:stretch>
                  </pic:blipFill>
                  <pic:spPr>
                    <a:xfrm>
                      <a:off x="0" y="0"/>
                      <a:ext cx="4260667" cy="2707299"/>
                    </a:xfrm>
                    <a:prstGeom prst="rect">
                      <a:avLst/>
                    </a:prstGeom>
                    <a:noFill/>
                    <a:ln>
                      <a:noFill/>
                    </a:ln>
                  </pic:spPr>
                </pic:pic>
              </a:graphicData>
            </a:graphic>
          </wp:inline>
        </w:drawing>
      </w:r>
    </w:p>
    <w:p>
      <w:pPr>
        <w:pStyle w:val="26"/>
        <w:spacing w:before="156" w:beforeLines="50" w:after="156" w:afterLines="50" w:line="240" w:lineRule="auto"/>
        <w:ind w:left="0" w:leftChars="0"/>
        <w:jc w:val="center"/>
      </w:pPr>
      <w:r>
        <w:rPr>
          <w:rFonts w:cs="Times New Roman"/>
          <w:szCs w:val="21"/>
        </w:rPr>
        <w:t>图4.1-3 绿色建材服务链示意图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3、人才链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人才链重点围绕绿色建材的研发、设计、生产以及在绿色建筑和装配式建筑中的应用，完善人才认定和培训体系，通过外部引进、联合共建、本地培养等多种形式，加强各类专业人才和技能人才储备，支撑绿色建材产业发展。</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4629150" cy="2114550"/>
            <wp:effectExtent l="0" t="0" r="3810" b="381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37"/>
                    <a:stretch>
                      <a:fillRect/>
                    </a:stretch>
                  </pic:blipFill>
                  <pic:spPr>
                    <a:xfrm>
                      <a:off x="0" y="0"/>
                      <a:ext cx="4629150" cy="2114550"/>
                    </a:xfrm>
                    <a:prstGeom prst="rect">
                      <a:avLst/>
                    </a:prstGeom>
                    <a:noFill/>
                    <a:ln>
                      <a:noFill/>
                    </a:ln>
                  </pic:spPr>
                </pic:pic>
              </a:graphicData>
            </a:graphic>
          </wp:inline>
        </w:drawing>
      </w:r>
    </w:p>
    <w:p>
      <w:pPr>
        <w:pStyle w:val="26"/>
        <w:spacing w:before="156" w:beforeLines="50" w:after="156" w:afterLines="50" w:line="240" w:lineRule="auto"/>
        <w:ind w:left="0" w:leftChars="0"/>
        <w:jc w:val="center"/>
      </w:pPr>
      <w:r>
        <w:rPr>
          <w:rFonts w:cs="Times New Roman"/>
          <w:szCs w:val="21"/>
        </w:rPr>
        <w:t>图4.1-4 绿色建材人才链示意图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4、产业链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1）绿色建材产业链围绕绿色建筑、装配式建筑和超低能耗被动式建筑等建筑产业新需求，立足本地产业基础和资源禀赋，重点以装配式部品、新型涂料、竹木板材为主导产业，培育特色精深加工产品、节能机电设备、屋顶光伏等产业，打造形成关联耦合、相互衔接的绿色建材产业链，形成绿色建材产业体系的基础。</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5321300" cy="3124200"/>
            <wp:effectExtent l="0" t="0" r="12700" b="0"/>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38"/>
                    <a:stretch>
                      <a:fillRect/>
                    </a:stretch>
                  </pic:blipFill>
                  <pic:spPr>
                    <a:xfrm>
                      <a:off x="0" y="0"/>
                      <a:ext cx="5321300" cy="312420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图4.1-5 绿色建材产业链示意图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2）装配式建筑部品以满足装配式建筑“装配化、非砌筑和全装修”三大要求为出发点，不断发展和完善装配式结构部品、装配式围护部品和全装修部品三大产品，形成本地需求的装配式建筑部品体系。其中，针对韶关市是广东的钢铁生产基地的特点，在控制预制混凝土部品产业规模的基础上，重点培育形成轻重结合的钢结构建筑部品产品体系。装配式围护部品重点围绕框架结构体系，利用本地固废资源发展各类轻质内外墙板、结构装饰一体化板，对接玻璃深加工产业发展高效节能门窗，延伸发展遮阳屋面系统。全装修部品围绕本地木材、竹材、钢材等，重点发展集成家居和管道系统。</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3）特色精深加工产业重点围绕本地资源、区域市场、引进技术等的优势条件，重点打造钢铁深加工、竹材和木材精深加工两大特色精深加工产业。钢铁深加工围绕目前国家推广装配式建筑的趋势，大力发展钢结构装配式建筑部品部件，依托韶关市钢铁原材料产业优势，延伸发展至电梯、自动停车场等其他金属建材。竹材和木材精深加工利用本地毛竹、杉木等竹木材料资源，发展木材加工业，尤其是竹木深加工业，重点解决本地竹木材资源深加工程度不足的问题，发展板材产业，对接集成家居、整体厨卫等产业，通过技术创新、设备更新、工艺革新，全力提升产能和市场竞争力。</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4）利废环境功能材料重点围绕粉煤灰、再生铝、再生塑料、建筑垃圾和农作物秸秆等再生废弃资源利用开发，发展建筑围护墙材、铝合金装饰装修材料、塑料管道、建筑再生骨料，及生态修复材料和海绵城市材料等功能性市政工程材料。</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5）节能机电设备产业围绕绿色建筑、超低能耗建筑、近零能耗建筑等中高端建筑市场需求，重点择机发展新能源机电设备、储能材料、智能家居产品及功能性建筑材料，逐步将培育成为绿色建材产业新的经济增长点。</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5、信息链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信息链是指以物联网、云计算和区块链等信息技术应用为中心，涵盖研发设计、原料采购、生产加工、物流运输、检测认证、终端销售全过程的绿色建材全生命周期信息追溯机制，是绿色建材产业体系高效率运行的保障。</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5267325" cy="1882140"/>
            <wp:effectExtent l="0" t="0" r="0" b="0"/>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39"/>
                    <a:stretch>
                      <a:fillRect/>
                    </a:stretch>
                  </pic:blipFill>
                  <pic:spPr>
                    <a:xfrm>
                      <a:off x="0" y="0"/>
                      <a:ext cx="5267325" cy="188214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图4.1-6 绿色建材信息链示意图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BIM系统：协同设计（BIM）平台包括设计工具、交互平台、运维平台、设计资源库、工作流程管理、专业培训、设计咨询服务和展示服务等服务板块。建立BIM产品库、BIM设计库、BIM做法库、业务数据库、业务资料库、标准定额库等通用数据库，整合企业设计、生产、运输、施工、装饰装修、运营维护和项目管理等各个业务板块，实现绿色建筑和装配式建筑全产业链的协同工作、集成应用和信息化管理，最终形成基于BIM的工程总承包建设管理能力。</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研发设计系统：加大二维、三维计算机辅助设计（CAD）的普及应用力度，加强产品数据管理（PDM）、仿真技术、数字模型等信息技术应用，实现网络环境下的产品数字化协同研发设计，以及异地协同研发设计，创新研发设计模式。推广应用适应柔性生产特点的ERP、CAD、CAM、PDM等信息技术应用，在研发、设计、制造、服务等方面构建协同高效、专业化分工的运行体系。</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采购平台：以大数据，云计算技术为手段，以商品库、用户库、供应商库等为主要内容搭建采购云平台，加大大宗原材料和重要物资的网上集中招标采购力度，降低采购成本，引领绿色建材行业的采购朝标准化、制度化、科学化和智能化方向发展。</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智能制造：利用物联网、大数据、云计算、区块链等新一代信息技术，加快推动传统建材制造业的转型升级，推进物联网技术在生产制造过程的自动化、供应链跟踪智能化、产品全生命周期检测实时化以及用能管理节约化等方面的应用，实现建材企业制造装备高端化、生产过程智能化和现场管理精益化。</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电子商务：依托技术服务、商务服务、展示展览、物流等生产性服务业，整合供应和需求信息资源，搭建生产企业、研发设计机构、施工单位、材料供应商无缝对接的B2B+O2O电子商务平台，通过透明化、专业化的采购流程设计，有效降低企业采购成本、保证产品服务质量、提高企业采购效率，为绿色建材企业提供最权威、最快捷、最高效的信息咨询和在线交易服务。</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智能物流：充分利用无线射频、卫星导航、视频监控等技术手段，整合仓库、车辆等物流服务供给资源信息和物资运输、仓储、配送等物流需求信息，促进货源、车（船）源和物流服务等信息的高效匹配，发展“互联网+”车货互配、运力优化、运输协同、物流企业联盟、仓储交易、供应链管理等高效便捷物流新模式，优化物流运作流程，提升物流仓储的自动化、智能化水平和运转效率，降低物流成本</w:t>
      </w:r>
    </w:p>
    <w:p>
      <w:pPr>
        <w:spacing w:after="156" w:afterLines="50"/>
        <w:outlineLvl w:val="1"/>
        <w:rPr>
          <w:rFonts w:ascii="Times New Roman" w:hAnsi="Times New Roman" w:eastAsia="楷体" w:cs="Times New Roman"/>
          <w:b/>
          <w:bCs/>
          <w:sz w:val="32"/>
          <w:szCs w:val="32"/>
        </w:rPr>
      </w:pPr>
      <w:bookmarkStart w:id="87" w:name="_Toc116399602"/>
      <w:r>
        <w:rPr>
          <w:rFonts w:ascii="Times New Roman" w:hAnsi="Times New Roman" w:eastAsia="楷体" w:cs="Times New Roman"/>
          <w:b/>
          <w:bCs/>
          <w:sz w:val="32"/>
          <w:szCs w:val="32"/>
        </w:rPr>
        <w:t>4.2 绿色建材发展目标</w:t>
      </w:r>
      <w:bookmarkEnd w:id="87"/>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到2025年，我市绿色建材实现高质量发展，散装水泥和绿色建材应用比例提升，绿色建材产业链完善程度及产业集聚水平不断增强，质量效益显著提升、创新能力不断提高，涌现出一批具有较强创新能力及核心竞争力的骨干企业，在区域产业分工中的地位进一步提升。</w:t>
      </w:r>
      <w:bookmarkStart w:id="88" w:name="_Hlk109739574"/>
      <w:r>
        <w:rPr>
          <w:rFonts w:eastAsia="宋体" w:cs="Times New Roman"/>
          <w:sz w:val="28"/>
          <w:szCs w:val="28"/>
        </w:rPr>
        <w:t>力争到2025年，绿色建材产业产值达到56亿元</w:t>
      </w:r>
      <w:r>
        <w:rPr>
          <w:rFonts w:hint="eastAsia" w:eastAsia="宋体" w:cs="Times New Roman"/>
          <w:sz w:val="28"/>
          <w:szCs w:val="28"/>
        </w:rPr>
        <w:t>以上</w:t>
      </w:r>
      <w:r>
        <w:rPr>
          <w:rFonts w:eastAsia="宋体" w:cs="Times New Roman"/>
          <w:sz w:val="28"/>
          <w:szCs w:val="28"/>
        </w:rPr>
        <w:t>。</w:t>
      </w:r>
      <w:bookmarkEnd w:id="88"/>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4.2.1 散装水泥与绿色建材持续推广</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到2025年末，散装水泥使用率≥75%，预拌混凝土企业绿色生产全面达标，新建预拌混凝土企业全部达到绿色生产二星级水平，鼓励在绿色建筑、装配式建筑等政府投资项目中率先使用绿色建材，逐步提升城镇新建建筑中绿色建材应用比例。</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4.2.2 产业布局更加完善</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到2025年，我市先进材料产业在曲江、武江、翁源、新丰、乳源、南雄、仁化、乐昌等地形成若干个具有竞争力和特色优势的区域产业集群，产业规模进一步扩大。</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4.2.3 关键技术水平和高端产品稳步提升</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到2025年，制约产业发展的关键共性技术得到有效突破，应用自动化和智能化生产线明显增多，主要产业技术装备达到领先水平，打造一批具有自主知识产权的高端产品。</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4.2.4 骨干企业竞争力增强</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到2025年，在先进材料领域培育一批具备显著竞争力和品牌影响力的行业领军企业，打造一批具有创新引领作用的独角兽企业、细分行业领域“单项冠军”企业和“专精特新”企业。</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4.2.5 产业创新能力明显提升</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到2025年，在先进材料领域培育一批技术精湛、结构合理的创新型人才队伍，建成一批综合型服务型研发平台。围绕“新基建”应用，提升新材料研发，打造形成知识产权密集型产业集群，提高重点龙头企业科技投入占主营业务收入比重。</w:t>
      </w:r>
    </w:p>
    <w:p>
      <w:pPr>
        <w:pStyle w:val="26"/>
        <w:spacing w:before="156" w:beforeLines="50" w:after="156" w:afterLines="50" w:line="240" w:lineRule="auto"/>
        <w:ind w:left="0" w:leftChars="0"/>
        <w:jc w:val="center"/>
        <w:rPr>
          <w:rFonts w:cs="Times New Roman"/>
          <w:szCs w:val="21"/>
        </w:rPr>
      </w:pPr>
      <w:r>
        <w:rPr>
          <w:rFonts w:hint="eastAsia" w:cs="Times New Roman"/>
          <w:szCs w:val="21"/>
        </w:rPr>
        <w:t>表4</w:t>
      </w:r>
      <w:r>
        <w:rPr>
          <w:rFonts w:cs="Times New Roman"/>
          <w:szCs w:val="21"/>
        </w:rPr>
        <w:t>.2-1 绿色建材发展目标</w:t>
      </w:r>
    </w:p>
    <w:tbl>
      <w:tblPr>
        <w:tblStyle w:val="18"/>
        <w:tblW w:w="8528" w:type="dxa"/>
        <w:tblInd w:w="0" w:type="dxa"/>
        <w:tblLayout w:type="fixed"/>
        <w:tblCellMar>
          <w:top w:w="0" w:type="dxa"/>
          <w:left w:w="108" w:type="dxa"/>
          <w:bottom w:w="0" w:type="dxa"/>
          <w:right w:w="108" w:type="dxa"/>
        </w:tblCellMar>
      </w:tblPr>
      <w:tblGrid>
        <w:gridCol w:w="987"/>
        <w:gridCol w:w="2366"/>
        <w:gridCol w:w="5175"/>
      </w:tblGrid>
      <w:tr>
        <w:trPr>
          <w:trHeight w:val="340" w:hRule="atLeast"/>
        </w:trPr>
        <w:tc>
          <w:tcPr>
            <w:tcW w:w="9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序号</w:t>
            </w:r>
          </w:p>
        </w:tc>
        <w:tc>
          <w:tcPr>
            <w:tcW w:w="236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指标</w:t>
            </w:r>
          </w:p>
        </w:tc>
        <w:tc>
          <w:tcPr>
            <w:tcW w:w="517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2025年目标</w:t>
            </w:r>
          </w:p>
        </w:tc>
      </w:tr>
      <w:tr>
        <w:tblPrEx>
          <w:tblCellMar>
            <w:top w:w="0" w:type="dxa"/>
            <w:left w:w="108" w:type="dxa"/>
            <w:bottom w:w="0" w:type="dxa"/>
            <w:right w:w="108" w:type="dxa"/>
          </w:tblCellMar>
        </w:tblPrEx>
        <w:trPr>
          <w:trHeight w:val="340" w:hRule="atLeast"/>
        </w:trPr>
        <w:tc>
          <w:tcPr>
            <w:tcW w:w="9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1</w:t>
            </w:r>
          </w:p>
        </w:tc>
        <w:tc>
          <w:tcPr>
            <w:tcW w:w="2366" w:type="dxa"/>
            <w:tcBorders>
              <w:top w:val="single" w:color="auto" w:sz="4" w:space="0"/>
              <w:left w:val="nil"/>
              <w:bottom w:val="single" w:color="auto" w:sz="4" w:space="0"/>
              <w:right w:val="single" w:color="auto" w:sz="4" w:space="0"/>
            </w:tcBorders>
            <w:shd w:val="clear" w:color="auto" w:fill="auto"/>
            <w:vAlign w:val="center"/>
          </w:tcPr>
          <w:p>
            <w:pPr>
              <w:widowControl/>
              <w:rPr>
                <w:rFonts w:ascii="Times New Roman" w:hAnsi="Times New Roman" w:cs="Times New Roman"/>
                <w:kern w:val="0"/>
                <w:szCs w:val="21"/>
              </w:rPr>
            </w:pPr>
            <w:r>
              <w:rPr>
                <w:rFonts w:ascii="Times New Roman" w:hAnsi="Times New Roman" w:cs="Times New Roman"/>
                <w:kern w:val="0"/>
                <w:szCs w:val="21"/>
              </w:rPr>
              <w:t>绿色建材产业总产值</w:t>
            </w:r>
          </w:p>
        </w:tc>
        <w:tc>
          <w:tcPr>
            <w:tcW w:w="517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56亿元</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2</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散装水泥使用率</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75%</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3</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预拌混凝土企业绿色生产比例</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100%</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4</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hint="eastAsia" w:ascii="Times New Roman" w:hAnsi="Times New Roman" w:cs="Times New Roman"/>
                <w:kern w:val="0"/>
                <w:szCs w:val="21"/>
              </w:rPr>
              <w:t>关键技术水平</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主要产业技术装备达到领先水平；</w:t>
            </w:r>
          </w:p>
          <w:p>
            <w:pPr>
              <w:widowControl/>
              <w:jc w:val="center"/>
              <w:rPr>
                <w:rFonts w:ascii="Times New Roman" w:hAnsi="Times New Roman" w:cs="Times New Roman"/>
                <w:kern w:val="0"/>
                <w:szCs w:val="21"/>
              </w:rPr>
            </w:pPr>
            <w:r>
              <w:rPr>
                <w:rFonts w:hint="eastAsia" w:ascii="Times New Roman" w:hAnsi="Times New Roman" w:cs="Times New Roman"/>
                <w:kern w:val="0"/>
                <w:szCs w:val="21"/>
              </w:rPr>
              <w:t>打造一批具有自主知识产权的高端产品</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5</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hint="eastAsia" w:ascii="Times New Roman" w:hAnsi="Times New Roman" w:cs="Times New Roman"/>
                <w:kern w:val="0"/>
                <w:szCs w:val="21"/>
              </w:rPr>
              <w:t>企业竞争力</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先进材料领域培育一批具备显著竞争力和品牌影响力的行业领军企业</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6</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hint="eastAsia" w:ascii="Times New Roman" w:hAnsi="Times New Roman" w:cs="Times New Roman"/>
                <w:kern w:val="0"/>
                <w:szCs w:val="21"/>
              </w:rPr>
              <w:t>产业创新</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一批技术精湛、结构合理的创新型人才队伍；一批综合型服务型研发平台</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7</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绿色建材</w:t>
            </w:r>
            <w:r>
              <w:rPr>
                <w:rFonts w:hint="eastAsia" w:ascii="Times New Roman" w:hAnsi="Times New Roman" w:cs="Times New Roman"/>
                <w:kern w:val="0"/>
                <w:szCs w:val="21"/>
              </w:rPr>
              <w:t>使用</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鼓励在绿色建筑、装配式建筑等政府投资项目中率先使用绿色建材</w:t>
            </w:r>
          </w:p>
        </w:tc>
      </w:tr>
    </w:tbl>
    <w:p>
      <w:pPr>
        <w:rPr>
          <w:rFonts w:ascii="Times New Roman" w:hAnsi="Times New Roman" w:cs="Times New Roman"/>
          <w:sz w:val="28"/>
          <w:szCs w:val="28"/>
        </w:rPr>
      </w:pPr>
    </w:p>
    <w:p>
      <w:pPr>
        <w:spacing w:after="156" w:afterLines="50"/>
        <w:outlineLvl w:val="1"/>
        <w:rPr>
          <w:rFonts w:ascii="Times New Roman" w:hAnsi="Times New Roman" w:eastAsia="楷体" w:cs="Times New Roman"/>
          <w:b/>
          <w:bCs/>
          <w:sz w:val="32"/>
          <w:szCs w:val="32"/>
        </w:rPr>
      </w:pPr>
      <w:bookmarkStart w:id="89" w:name="_Toc116399603"/>
      <w:r>
        <w:rPr>
          <w:rFonts w:ascii="Times New Roman" w:hAnsi="Times New Roman" w:eastAsia="楷体" w:cs="Times New Roman"/>
          <w:b/>
          <w:bCs/>
          <w:sz w:val="32"/>
          <w:szCs w:val="32"/>
        </w:rPr>
        <w:t>4.3 各县</w:t>
      </w:r>
      <w:r>
        <w:rPr>
          <w:rFonts w:hint="eastAsia" w:ascii="Times New Roman" w:hAnsi="Times New Roman" w:eastAsia="楷体" w:cs="Times New Roman"/>
          <w:b/>
          <w:bCs/>
          <w:sz w:val="32"/>
          <w:szCs w:val="32"/>
        </w:rPr>
        <w:t>（</w:t>
      </w:r>
      <w:r>
        <w:rPr>
          <w:rFonts w:ascii="Times New Roman" w:hAnsi="Times New Roman" w:eastAsia="楷体" w:cs="Times New Roman"/>
          <w:b/>
          <w:bCs/>
          <w:sz w:val="32"/>
          <w:szCs w:val="32"/>
        </w:rPr>
        <w:t>市</w:t>
      </w:r>
      <w:r>
        <w:rPr>
          <w:rFonts w:hint="eastAsia" w:ascii="Times New Roman" w:hAnsi="Times New Roman" w:eastAsia="楷体" w:cs="Times New Roman"/>
          <w:b/>
          <w:bCs/>
          <w:sz w:val="32"/>
          <w:szCs w:val="32"/>
        </w:rPr>
        <w:t>、区）</w:t>
      </w:r>
      <w:r>
        <w:rPr>
          <w:rFonts w:ascii="Times New Roman" w:hAnsi="Times New Roman" w:eastAsia="楷体" w:cs="Times New Roman"/>
          <w:b/>
          <w:bCs/>
          <w:sz w:val="32"/>
          <w:szCs w:val="32"/>
        </w:rPr>
        <w:t>产业发展布局</w:t>
      </w:r>
      <w:bookmarkEnd w:id="89"/>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4.3.1 发展基础</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1、浈江区</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浈江区产业园定位为构建具有创新活力和辐射带动力的现代产业园区，打造集研发、终端产品、产业集聚为一体的机械制造基地。园区以汽车零配件生产为龙头，装备制造业为主导重点发展机械制造、电子信息、精细化工，目标是打造全国重要的汽车零配件、机械生产基地。</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浈江区现有建材企业</w:t>
      </w:r>
      <w:r>
        <w:rPr>
          <w:rFonts w:hint="eastAsia" w:eastAsia="宋体" w:cs="Times New Roman"/>
          <w:sz w:val="28"/>
          <w:szCs w:val="28"/>
        </w:rPr>
        <w:t>包括</w:t>
      </w:r>
      <w:r>
        <w:rPr>
          <w:rFonts w:eastAsia="宋体" w:cs="Times New Roman"/>
          <w:sz w:val="28"/>
          <w:szCs w:val="28"/>
        </w:rPr>
        <w:t>建成混凝土、国粤建材、亨泰混凝土等预拌混凝土、砌块</w:t>
      </w:r>
      <w:r>
        <w:rPr>
          <w:rFonts w:hint="eastAsia" w:eastAsia="宋体" w:cs="Times New Roman"/>
          <w:sz w:val="28"/>
          <w:szCs w:val="28"/>
        </w:rPr>
        <w:t>生产企业</w:t>
      </w:r>
      <w:r>
        <w:rPr>
          <w:rFonts w:eastAsia="宋体" w:cs="Times New Roman"/>
          <w:sz w:val="28"/>
          <w:szCs w:val="28"/>
        </w:rPr>
        <w:t>，</w:t>
      </w:r>
      <w:r>
        <w:rPr>
          <w:rFonts w:hint="eastAsia" w:eastAsia="宋体" w:cs="Times New Roman"/>
          <w:sz w:val="28"/>
          <w:szCs w:val="28"/>
        </w:rPr>
        <w:t>良春建材等干混砂浆生产企业，</w:t>
      </w:r>
      <w:r>
        <w:rPr>
          <w:rFonts w:eastAsia="宋体" w:cs="Times New Roman"/>
          <w:sz w:val="28"/>
          <w:szCs w:val="28"/>
        </w:rPr>
        <w:t>正直木业、乾鸿木业、光华永盛科技等板材、门窗、家具类别建材企业。浈江区现有建材企业分类数量如下图4.3-1所示。</w:t>
      </w:r>
    </w:p>
    <w:p>
      <w:pPr>
        <w:pStyle w:val="2"/>
        <w:jc w:val="center"/>
        <w:rPr>
          <w:rFonts w:hint="default" w:ascii="Times New Roman" w:hAnsi="Times New Roman" w:cs="Times New Roman"/>
        </w:rPr>
      </w:pPr>
      <w:r>
        <w:rPr>
          <w:rFonts w:hint="default" w:ascii="Times New Roman" w:hAnsi="Times New Roman" w:cs="Times New Roman"/>
        </w:rPr>
        <w:drawing>
          <wp:inline distT="0" distB="0" distL="0" distR="0">
            <wp:extent cx="3999230" cy="283464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399923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图4.3-1 浈江区各类建材企业数量饼图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2、武江区</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东莞（韶关）产业转移工业园甘棠片区位于京珠高速公路韶关段沿线附近，并紧临323国道、北江航道和武广客运专线韶关站。其所在区域有京九铁路、韶赣铁路、京珠高速、韶赣高速、广乐高速（在建）等，交通条件非常优越，是武江区承接产业转移的重要载体。甘棠片区规划面积8765亩，主要发展先进装备制造等产业，位于园区内的上海电气智能化PC装备生产基地建设项目占地约50.9亩，总投资1.1亿元人民币，建筑面积约18268平方米，整个项目联合厂房、综合楼同步建设，已于2021年底年底峻工，预计实现年产PC生产线关键设备200套的生产能力，有效地助力韶关经济的突飞猛进。</w:t>
      </w:r>
    </w:p>
    <w:p>
      <w:pPr>
        <w:pStyle w:val="26"/>
        <w:snapToGrid w:val="0"/>
        <w:spacing w:after="0" w:line="360" w:lineRule="auto"/>
        <w:ind w:left="0" w:leftChars="0" w:firstLine="560" w:firstLineChars="200"/>
        <w:rPr>
          <w:rFonts w:eastAsia="宋体" w:cs="Times New Roman"/>
          <w:sz w:val="28"/>
          <w:szCs w:val="28"/>
        </w:rPr>
      </w:pPr>
      <w:r>
        <w:rPr>
          <w:rFonts w:hint="eastAsia" w:eastAsia="宋体" w:cs="Times New Roman"/>
          <w:sz w:val="28"/>
          <w:szCs w:val="28"/>
        </w:rPr>
        <w:t>武江区现有建材企业以泰基搅拌站、永威混凝土等预拌混凝土企业，世邦、顺展等新型建材和东翰门窗、宗庆玻璃等玻璃企业为主</w:t>
      </w:r>
      <w:r>
        <w:rPr>
          <w:rFonts w:eastAsia="宋体" w:cs="Times New Roman"/>
          <w:sz w:val="28"/>
          <w:szCs w:val="28"/>
        </w:rPr>
        <w:t>，有少量的板材、砌块、石材类建材企业。武江区现有建材企业分类数量如下图4.3-2所示。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图4.3-2 武江区各类建材企业数量饼图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3、曲江区</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华南装备园位于韶关市曲江区，规划总面积43.5平方公里（其中宝武韶钢12.5平方公里）。重点培育发展基础零部件、汽车零部件、成套（台）装备制造及装备服务等四大产业，打造特钢全产业链生态圈专业园区。华南装备园位于湘南经济圈、赣南南经济圈、珠三角经济圈交汇中心，是粵港澳大湾区辐射内陆腹地的“黄金通道”和“桥头堡”，同时也是广东省振兴东西北的重点发展区。优越的经济地理位置，使华南装备园通过承南接北、东拓西联，实现与珠三角经济和粤东西北产业带装备制造业的对接融合，推动粤东西北产业与经济的融合发展。</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目前曲江区有广东东一钢结构有限公司、广东银基钢构有限公司等钢结构装配式企业，</w:t>
      </w:r>
      <w:r>
        <w:rPr>
          <w:rFonts w:hint="eastAsia" w:eastAsia="宋体" w:cs="Times New Roman"/>
          <w:sz w:val="28"/>
          <w:szCs w:val="28"/>
        </w:rPr>
        <w:t>银凯建材等干混砂浆生产企业，</w:t>
      </w:r>
      <w:r>
        <w:rPr>
          <w:rFonts w:eastAsia="宋体" w:cs="Times New Roman"/>
          <w:sz w:val="28"/>
          <w:szCs w:val="28"/>
        </w:rPr>
        <w:t>除此之外还有生产预拌混凝土、砌块、管桩等建材的企业。曲江区现有建材企业分类数量如下图4.3-3所示。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图4.3-3 曲江区各类建材企业数量饼图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4、乐昌市</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乐昌是粤北门户，地处珠三角经济圈与长株潭经济圈交汇中心地带，在当前泛珠三角产业梯度转移、分工、配套等新的发展形式下，乐昌区位交通优势明显。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乐昌产业转移工业园规划面积10512亩，主要发展机械装备制造、绿色家居装饰新材料、服饰、电子科技、自动化设备、家电制造等产业。</w:t>
      </w:r>
      <w:bookmarkStart w:id="90" w:name="_Hlk116398860"/>
    </w:p>
    <w:p>
      <w:pPr>
        <w:pStyle w:val="26"/>
        <w:snapToGrid w:val="0"/>
        <w:spacing w:after="0" w:line="360" w:lineRule="auto"/>
        <w:ind w:left="0" w:leftChars="0" w:firstLine="560" w:firstLineChars="200"/>
        <w:rPr>
          <w:rFonts w:eastAsia="宋体" w:cs="Times New Roman"/>
          <w:sz w:val="28"/>
          <w:szCs w:val="28"/>
        </w:rPr>
      </w:pPr>
      <w:r>
        <w:rPr>
          <w:rFonts w:hint="eastAsia" w:eastAsia="宋体" w:cs="Times New Roman"/>
          <w:sz w:val="28"/>
          <w:szCs w:val="28"/>
        </w:rPr>
        <w:t>根据《韶关市矿产资源总体规划（2021-2025年）》，</w:t>
      </w:r>
      <w:bookmarkEnd w:id="90"/>
      <w:r>
        <w:rPr>
          <w:rFonts w:eastAsia="宋体" w:cs="Times New Roman"/>
          <w:sz w:val="28"/>
          <w:szCs w:val="28"/>
        </w:rPr>
        <w:t>乐昌市矿产资源丰富，包括</w:t>
      </w:r>
      <w:r>
        <w:rPr>
          <w:rFonts w:hint="eastAsia" w:eastAsia="宋体" w:cs="Times New Roman"/>
          <w:sz w:val="28"/>
          <w:szCs w:val="28"/>
        </w:rPr>
        <w:t>石英矿、</w:t>
      </w:r>
      <w:r>
        <w:rPr>
          <w:rFonts w:eastAsia="宋体" w:cs="Times New Roman"/>
          <w:sz w:val="28"/>
          <w:szCs w:val="28"/>
        </w:rPr>
        <w:t>石灰石、锑矿、萤石矿等，但目前开采及挖掘受限，资源优势难以转化为产业优势</w:t>
      </w:r>
      <w:r>
        <w:rPr>
          <w:rFonts w:hint="eastAsia" w:eastAsia="宋体" w:cs="Times New Roman"/>
          <w:sz w:val="28"/>
          <w:szCs w:val="28"/>
        </w:rPr>
        <w:t>，目前乐昌市已被列入矿产资源产业重点发展区域</w:t>
      </w:r>
      <w:r>
        <w:rPr>
          <w:rFonts w:eastAsia="宋体" w:cs="Times New Roman"/>
          <w:sz w:val="28"/>
          <w:szCs w:val="28"/>
        </w:rPr>
        <w:t>。</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乐昌市龙山林场别名乐昌市国家杉木良种繁育中心，是广东省林木良种基地，是林业科学研究落地最早的场所，也是广东最早进行种质资源和种源适应研究基地，中心一直积极开展杉木和乐昌含笑良种培育、示范。依托林场资源，目前乐昌市已有彬林木业、华翔木业等板材企业。</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乐昌曾是广东工业重镇，在珠三角要素成本不断上涨的趋势下，东莞、广州、深圳、等地新材料企业等寻求增资扩产、长远发展，陆续外迁转移，开发区聚集了一批以沃府新材料为代表的先进高分子企业、以南方阳光为龙头的新型建筑材料企业，奠定开发区壮大新材料产业的基础，有利于后续以现有企业为基础大力发展以功能陶瓷为主的先进陶瓷和以绝热材料、装饰装修材料为主的新型建筑材料，并规划建设相关产业园，引进珠三角相关企业，形成集聚效应。目前园区内已有龙督装饰材料、力齐铝模、汇隽新材料、欧昊科技、欧典高分子等。乐昌市现有建材企业分类数量如下图4.3-4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图4.3-4 乐昌市各类建材企业数量饼图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5、南雄市</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南雄产业转移工业园一期规划面积6000亩主要发展精细化工产业；二期规划面积5040亩，主要发展竹纤维、新材料、电气机械及器材制造等产业。</w:t>
      </w:r>
      <w:bookmarkStart w:id="91" w:name="_Hlk106375414"/>
      <w:r>
        <w:rPr>
          <w:rFonts w:eastAsia="宋体" w:cs="Times New Roman"/>
          <w:sz w:val="28"/>
          <w:szCs w:val="28"/>
        </w:rPr>
        <w:t>南雄产业转移工业园</w:t>
      </w:r>
      <w:bookmarkEnd w:id="91"/>
      <w:r>
        <w:rPr>
          <w:rFonts w:eastAsia="宋体" w:cs="Times New Roman"/>
          <w:sz w:val="28"/>
          <w:szCs w:val="28"/>
        </w:rPr>
        <w:t>首期地处南雄市西南郊，地理位置优越，有对接“长三角”，承接“珠三角”的良好区位优势。园区一期以精细化工为主导产业，目前已有中科院广州化学研究所南雄生产基地、广东自由能科技股份有限公司、广东邦固化学科技有限公司等大项目落户南雄并快速发展，有效带动了园区整体实力的提升，逐渐成为南雄精细化工园的“龙头企业”，南雄产业转移工业园一期已逐渐形成精细化工产业集群，有助于接下来发展建筑涂料。</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此外，南雄市是中国特色竹乡，有丰富的竹资源，依托国家储备林项目资源优势，可以适度发展竹质建材、竹纤维纺织等产业。南雄市现有建材企业分类数量如下图4.3-5所示。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图4.3-5 南雄市各类建材企业数量饼图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6、仁化县</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仁化产业转移工业园规划面积7384亩，主要发展有色金属深加工、储能、新能源电池材料等战略新型材料等产业；仁化县小企业创业园规划面积2700亩，主要发展农林产品深加工产业。</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仁化县天然的气候和立地条件是竹类资源发展的良好基础，县域自然分布着丰富的竹类资源，竹类面积65万亩，占林业用地面积24.95%。毛竹是主要竹种，面积达46万亩，具有粗直、肉厚、节长等特点，是优良的笋、材两用竹。仁化县竹类产业化建设已有多年，初期主要以发展竹类资源为主，在竹类资源不断扩大的情况下，逐步带动竹加工业的发展，现形成了具有一定规模的竹子生产基地和加工销售体系。仁化县已建立起了竹筷子厂、竹牙签、竹凉席厂、竹香骨厂、竹工艺厂、竹地板厂、竹碳厂等大小企业近40家，作坊式的小加工厂近百家，形成了初具规模的竹产业体系，全县竹产品年产值32500万元。仁化工业园在园区总体规划中提出培育发展竹材深加工等成长性产业，将竹材深加工作为主导产业之一。</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目前竹木深加工已成为仁化工业园区的产业体系之一，代表性企业为鸿伟木业（仁化）有限公司和仁化县奥达胶合板有限公司，目前的主导产业是竹木深加工，主要产品类型包括竹木制品、竹木工艺品、竹木纤维板材等。近年来，鸿伟木业扩建项目竣工投产，2014年在香港成功上市，奥达胶合板、鑫海仁丹等技改项目顺利实施，园区转型升级步伐加快。仁化县现有建材企业分类数量如下表4.3-6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图4.3-6 仁化县各类建材企业数量饼图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7、始兴县</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始兴产业转移工业园是全省首批产业转移工业园之一，沙工工业园规划面积2500亩，主要发展机械电子、新材料等产业；东湖坪工业园规划面积1600亩，主要发展文具制笔产业；马市工业园规划面积3600亩，主要发展电子、竹产业等产业。始兴立足资源优势，引进了一批特色鲜明、规模效益较好的产业项目，办公文具、电子、机械加工、食品加工、竹加工等特色产业快速发展，全县工业经济发展呈现良好势头，形成了以始兴产业转移工业园为中心，带动沙水、东湖坪、马市、江口、黄花园等工业片区齐头并进的“一园多片区”工业发展格局。</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始兴是全国闻名的林业县全县共有森林面积243.94万亩，森林覆盖率77.77%，森林蓄积量1565.07万立方米，林业产业发展资源条件优越。近年来，始兴县在做好生态保护的同时，充分利用好生态优势，达到林业增效的目标。</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始兴县现有建材企业较少，为恒成商品混凝土、深广兴混凝土等预拌混凝土企业和少量的人造板、装饰线板、铝型材企业。始兴县现有建材企业分类数量如下表4.3-7所示。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图4.3-7 始兴县各类建材企业数量饼图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8、翁源县</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华彩新材料产业园是翁源县与广东鸿盛集团有限公司共同打造的“生态园林式”环保新材料园，园区规划面积8000亩，首期3000亩已建成，主要以树脂涂料、汽车用品为主。华彩新材料产业园被评为“省涂料行业示范工业园”、“省中小企业创业基地”、“工信部产业集群区域品牌建设试点单位”，是广东省11个符合承接危化品企业条件的园区之一。</w:t>
      </w:r>
      <w:r>
        <w:rPr>
          <w:rFonts w:hint="eastAsia" w:eastAsia="宋体" w:cs="Times New Roman"/>
          <w:sz w:val="28"/>
          <w:szCs w:val="28"/>
        </w:rPr>
        <w:t>产业园一期已开发完毕，已引进立邦、彤德、五羊、欧文等知名企业，预计一期达产后，年产值可达100亿元以上，年税收2亿元以上。</w:t>
      </w:r>
    </w:p>
    <w:p>
      <w:pPr>
        <w:pStyle w:val="26"/>
        <w:snapToGrid w:val="0"/>
        <w:spacing w:after="0" w:line="360" w:lineRule="auto"/>
        <w:ind w:left="0" w:leftChars="0" w:firstLine="560" w:firstLineChars="200"/>
        <w:rPr>
          <w:rFonts w:eastAsia="宋体" w:cs="Times New Roman"/>
          <w:sz w:val="28"/>
          <w:szCs w:val="28"/>
        </w:rPr>
      </w:pPr>
      <w:r>
        <w:rPr>
          <w:rFonts w:hint="eastAsia" w:eastAsia="宋体" w:cs="Times New Roman"/>
          <w:sz w:val="28"/>
          <w:szCs w:val="28"/>
        </w:rPr>
        <w:t>园区二期5000亩土地计划用5年时间为园区引进60家新材料优质企业。</w:t>
      </w:r>
      <w:r>
        <w:rPr>
          <w:rFonts w:eastAsia="宋体" w:cs="Times New Roman"/>
          <w:sz w:val="28"/>
          <w:szCs w:val="28"/>
        </w:rPr>
        <w:t>翁源未来在精细化工方向的发展重点，一是重点发展发展汽车涂料、新型建筑涂料及配套树脂原料，高固含量涂料、水性涂料、粉末涂料和辐射固化涂料等绿色涂料，以及丙烯酸树脂漆、聚酯树脂漆、环氧树脂漆、聚氨酯漆、有机硅树脂漆等低毒化、助剂高效化的高性能涂料。二是重点发展塑料助剂、橡胶助剂、水处理剂、粘胶剂等化工材料。</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翁源县现有建材企业占比最多的就是涂料类企业，包括耐迪化工、德丽雅新材料、赛力克防水材料等；其次为凯通纤维板、德泰木业、安德木业等板材企业。翁源县现有建材企业分类数量如下表4.3-8所示。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图4.3-8 翁源县各类建材企业数量饼图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9、新丰县</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新丰县产业转移工业园于2018年成功申报为“省产业转移园区”，目前，园区共入驻企业49家，其中规上企业27家，高新企业12家，化工企业12家。</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其中回龙工业园位于新丰县回龙镇西北部，毗邻清远英德市青塘镇。园区规划面积12563亩，主导产业为稀土、建材、新兴制造等。</w:t>
      </w:r>
      <w:r>
        <w:rPr>
          <w:rFonts w:hint="eastAsia" w:eastAsia="宋体" w:cs="Times New Roman"/>
          <w:sz w:val="28"/>
          <w:szCs w:val="28"/>
        </w:rPr>
        <w:t>根据《韶关市矿产资源总体规划（2021-2025年）》，新丰县的石灰岩、稀土等矿产资源丰富，且新丰县被列入矿产资源产业重点发展区域。</w:t>
      </w:r>
      <w:r>
        <w:rPr>
          <w:rFonts w:eastAsia="宋体" w:cs="Times New Roman"/>
          <w:sz w:val="28"/>
          <w:szCs w:val="28"/>
        </w:rPr>
        <w:t>回龙工业园科学规划稀土特色产业园区功能布局，谋划建设粤北稀土产业科创平台，加强稀土产业链上下游先进工艺与高端技术装备的研发转化，拓展稀土精深加工和绿色化高端应用，引领、推动稀土资源深加工和材料应用开发产业集聚，延伸稀土产业链，提升稀土价值链，着力建成省级专业稀土产业园区，打造华南地区乃至全国重要的离子型稀土生产、研发、应用和配送中心。</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目前，园区共有企业15家，其中已投产企业有广东鸿丰水泥有限公司、金丰达陶瓷有限公司、特伦特新型材料有限公司、广东海螺鸿丰水泥有限公司、佛山美瑛建材公司、广东玖钢世博公司等，主要建材产品为混凝土、陶瓷砖、琉璃瓦、钢结构装配式等。中德新亚建筑材料有限公司、雷诺贝尔建材目前仍在筹备阶段，投产后主要生产碳纤维复合材料、特种砂浆、钛合金板等。新丰县现有建材企业分类数量如下表4.3-9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图4.3-9 新丰县各类建材企业数量饼图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10、乳源瑶族自治县</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乳源县重点发展方向是高新技术产业及战略性新兴产业，目前乳源产业转移工业园产业体系以电子材料、生物医药、新材料为主导，发展目标是成为全国最大的电子铝箔材料生产基地、华南地区最大的氯碱化工新材料基地、全省重要的制药生产基地。</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东阳光高科技园片区重点培育发展生物医药产业，富源工业园片区重点发展壮大电子材料产业，新材料产业园片区优化发展以氯碱化工、氟树脂、特种保护膜等为主导的新材料产业。其中铝合金材料是电子材料产业的发展重点方向之一，可以结合其他产业配套需求，承接发展光伏铝材、机电设备铝材、消费电子铝材、铝合金建筑模板等铝合金材料。</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目前乳源县现有建材企业主要产品为预拌混凝土、预拌砂浆、砖、砌块等传统建筑材料，包括建林商品混凝土、宏建商品混凝土、祥旺环保建材等。乳源县现有建材企业分类数量如下</w:t>
      </w:r>
      <w:r>
        <w:rPr>
          <w:rFonts w:hint="eastAsia" w:eastAsia="宋体" w:cs="Times New Roman"/>
          <w:sz w:val="28"/>
          <w:szCs w:val="28"/>
        </w:rPr>
        <w:t>图</w:t>
      </w:r>
      <w:r>
        <w:rPr>
          <w:rFonts w:eastAsia="宋体" w:cs="Times New Roman"/>
          <w:sz w:val="28"/>
          <w:szCs w:val="28"/>
        </w:rPr>
        <w:t>4.3-10所示。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 w:val="28"/>
          <w:szCs w:val="28"/>
        </w:rPr>
      </w:pPr>
      <w:r>
        <w:rPr>
          <w:rFonts w:cs="Times New Roman"/>
          <w:szCs w:val="21"/>
        </w:rPr>
        <w:t>图4.3-10 乳源县各类建材企业数量饼图</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4.3.2 发展目标</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根据韶关市统计局提供的数据，2017年~2021年韶关市各县（市、区）建材产业总产值情况如下表所示，与其他年份数据相比，2020年的数据存在异常偏大的情况。</w:t>
      </w:r>
    </w:p>
    <w:p>
      <w:pPr>
        <w:pStyle w:val="26"/>
        <w:spacing w:before="156" w:beforeLines="50" w:after="156" w:afterLines="50" w:line="240" w:lineRule="auto"/>
        <w:ind w:left="0" w:leftChars="0"/>
        <w:jc w:val="center"/>
        <w:rPr>
          <w:rFonts w:cs="Times New Roman"/>
          <w:szCs w:val="21"/>
        </w:rPr>
      </w:pPr>
      <w:r>
        <w:rPr>
          <w:rFonts w:cs="Times New Roman"/>
          <w:szCs w:val="21"/>
        </w:rPr>
        <w:t>表4.3-1 韶关市各县（市、区）建材产业总产值</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53"/>
        <w:gridCol w:w="1255"/>
        <w:gridCol w:w="1112"/>
        <w:gridCol w:w="1255"/>
        <w:gridCol w:w="1398"/>
        <w:gridCol w:w="12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vMerge w:val="restart"/>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6275" w:type="dxa"/>
            <w:gridSpan w:val="5"/>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总产值（万元）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vMerge w:val="continue"/>
            <w:shd w:val="clear" w:color="auto" w:fill="auto"/>
            <w:noWrap/>
            <w:vAlign w:val="center"/>
          </w:tcPr>
          <w:p>
            <w:pPr>
              <w:widowControl/>
              <w:jc w:val="center"/>
              <w:rPr>
                <w:rFonts w:ascii="Times New Roman" w:hAnsi="Times New Roman" w:eastAsia="宋体" w:cs="Times New Roman"/>
                <w:kern w:val="0"/>
                <w:szCs w:val="21"/>
              </w:rPr>
            </w:pP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2017</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2018</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2019</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2020</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浈江区</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33424</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47431</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34471</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1126168 </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54680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曲江区</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121336</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122700</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78339</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4576035 </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105103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武江区</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65547</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84702</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124219</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2309215</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151216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乐昌市</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84882</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103472</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105584</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418155</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186541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南雄市</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78428</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80354</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83503</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554099</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102747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仁化县</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83715</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75759</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76253</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647198</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87430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始兴县</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65697</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54002</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52176</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537924</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59141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翁源县</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108257</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136985</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159160</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629428</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174022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新丰县</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275277</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191554</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221748</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465372</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236601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乳源瑶族自治县</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158913</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42562</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64798</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1328159</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66832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韶关市</w:t>
            </w:r>
          </w:p>
        </w:tc>
        <w:tc>
          <w:tcPr>
            <w:tcW w:w="1255"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1075475</w:t>
            </w:r>
          </w:p>
        </w:tc>
        <w:tc>
          <w:tcPr>
            <w:tcW w:w="111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939521</w:t>
            </w:r>
          </w:p>
        </w:tc>
        <w:tc>
          <w:tcPr>
            <w:tcW w:w="1255"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1000250</w:t>
            </w:r>
          </w:p>
        </w:tc>
        <w:tc>
          <w:tcPr>
            <w:tcW w:w="1398"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12591753</w:t>
            </w:r>
          </w:p>
        </w:tc>
        <w:tc>
          <w:tcPr>
            <w:tcW w:w="1255"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1224312</w:t>
            </w:r>
          </w:p>
        </w:tc>
      </w:tr>
    </w:tbl>
    <w:p>
      <w:pPr>
        <w:pStyle w:val="26"/>
        <w:snapToGrid w:val="0"/>
        <w:spacing w:after="0" w:line="360" w:lineRule="auto"/>
        <w:ind w:left="0" w:leftChars="0" w:firstLine="560" w:firstLineChars="200"/>
        <w:rPr>
          <w:rFonts w:eastAsia="宋体"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考虑到2020年数据可能对数据分析有较大影响，因此在进行数据分析时将2020年数据替代为2019年与2021年数据的平均值。</w:t>
      </w:r>
      <w:r>
        <w:rPr>
          <w:rFonts w:hint="eastAsia" w:eastAsia="宋体" w:cs="Times New Roman"/>
          <w:sz w:val="28"/>
          <w:szCs w:val="28"/>
        </w:rPr>
        <w:t>替换后的各县 (市、区) 2017~2021 年逐年总产值和折线图如表4.3-2与 图4.3-11所示</w:t>
      </w:r>
      <w:r>
        <w:rPr>
          <w:rFonts w:eastAsia="宋体" w:cs="Times New Roman"/>
          <w:sz w:val="28"/>
          <w:szCs w:val="28"/>
        </w:rPr>
        <w:t>。由图可知，近几年韶关市各县（市、区）的建材产业总产值均呈现上升趋势，其中乐昌市发展速度最快，19年~21年上涨超过70%。</w:t>
      </w:r>
    </w:p>
    <w:p>
      <w:pPr>
        <w:pStyle w:val="26"/>
        <w:spacing w:before="156" w:beforeLines="50" w:after="156" w:afterLines="50" w:line="240" w:lineRule="auto"/>
        <w:ind w:left="0" w:leftChars="0"/>
        <w:jc w:val="center"/>
        <w:rPr>
          <w:rFonts w:cs="Times New Roman"/>
          <w:szCs w:val="21"/>
        </w:rPr>
      </w:pPr>
      <w:r>
        <w:rPr>
          <w:rFonts w:cs="Times New Roman"/>
          <w:szCs w:val="21"/>
        </w:rPr>
        <w:t>表4.3-2 韶关市各县（市、区）建材产业总产值（调整后）</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3"/>
        <w:gridCol w:w="1276"/>
        <w:gridCol w:w="1131"/>
        <w:gridCol w:w="1276"/>
        <w:gridCol w:w="127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vMerge w:val="restart"/>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6235" w:type="dxa"/>
            <w:gridSpan w:val="5"/>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总产值（万元）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vMerge w:val="continue"/>
            <w:shd w:val="clear" w:color="auto" w:fill="auto"/>
            <w:noWrap/>
            <w:vAlign w:val="center"/>
          </w:tcPr>
          <w:p>
            <w:pPr>
              <w:widowControl/>
              <w:jc w:val="center"/>
              <w:rPr>
                <w:rFonts w:ascii="Times New Roman" w:hAnsi="Times New Roman" w:eastAsia="宋体" w:cs="Times New Roman"/>
                <w:kern w:val="0"/>
                <w:szCs w:val="21"/>
              </w:rPr>
            </w:pP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2017</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2018</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2019</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2020</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浈江区</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33424</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47431</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34471</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44576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54680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曲江区</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121336</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122700</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78339</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91721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105103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武江区</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65547</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84702</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124219</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137718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151216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乐昌市</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84882</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103472</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105584</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146062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186541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南雄市</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78428</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80354</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83503</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93125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102747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仁化县</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83715</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75759</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76253</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81841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87430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始兴县</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65697</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54002</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52176</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55658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59141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翁源县</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108257</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136985</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159160</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166591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174022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新丰县</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275277</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191554</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221748</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229174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236601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乳源瑶族自治县</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158913</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42562</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64798</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65815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66832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韶关市</w:t>
            </w:r>
          </w:p>
        </w:tc>
        <w:tc>
          <w:tcPr>
            <w:tcW w:w="127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1075475</w:t>
            </w:r>
          </w:p>
        </w:tc>
        <w:tc>
          <w:tcPr>
            <w:tcW w:w="1131"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939521</w:t>
            </w:r>
          </w:p>
        </w:tc>
        <w:tc>
          <w:tcPr>
            <w:tcW w:w="127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1000250</w:t>
            </w:r>
          </w:p>
        </w:tc>
        <w:tc>
          <w:tcPr>
            <w:tcW w:w="127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1112281 </w:t>
            </w:r>
          </w:p>
        </w:tc>
        <w:tc>
          <w:tcPr>
            <w:tcW w:w="127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1224312</w:t>
            </w:r>
          </w:p>
        </w:tc>
      </w:tr>
    </w:tbl>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66055" cy="306641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281466" cy="3075343"/>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图4.3-11 韶关市各县（市、区）建材产业总产值变化折线图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根据</w:t>
      </w:r>
      <w:r>
        <w:rPr>
          <w:rFonts w:hint="eastAsia" w:eastAsia="宋体" w:cs="Times New Roman"/>
          <w:sz w:val="28"/>
          <w:szCs w:val="28"/>
        </w:rPr>
        <w:t>2</w:t>
      </w:r>
      <w:r>
        <w:rPr>
          <w:rFonts w:eastAsia="宋体" w:cs="Times New Roman"/>
          <w:sz w:val="28"/>
          <w:szCs w:val="28"/>
        </w:rPr>
        <w:t>017~2021</w:t>
      </w:r>
      <w:r>
        <w:rPr>
          <w:rFonts w:hint="eastAsia" w:eastAsia="宋体" w:cs="Times New Roman"/>
          <w:sz w:val="28"/>
          <w:szCs w:val="28"/>
        </w:rPr>
        <w:t>的</w:t>
      </w:r>
      <w:r>
        <w:rPr>
          <w:rFonts w:eastAsia="宋体" w:cs="Times New Roman"/>
          <w:sz w:val="28"/>
          <w:szCs w:val="28"/>
        </w:rPr>
        <w:t>建材企业总产值数据与发展趋势</w:t>
      </w:r>
      <w:r>
        <w:rPr>
          <w:rFonts w:hint="eastAsia" w:eastAsia="宋体" w:cs="Times New Roman"/>
          <w:sz w:val="28"/>
          <w:szCs w:val="28"/>
        </w:rPr>
        <w:t>、结合每年新开工面积增长约3</w:t>
      </w:r>
      <w:r>
        <w:rPr>
          <w:rFonts w:eastAsia="宋体" w:cs="Times New Roman"/>
          <w:sz w:val="28"/>
          <w:szCs w:val="28"/>
        </w:rPr>
        <w:t>%</w:t>
      </w:r>
      <w:r>
        <w:rPr>
          <w:rFonts w:hint="eastAsia" w:eastAsia="宋体" w:cs="Times New Roman"/>
          <w:sz w:val="28"/>
          <w:szCs w:val="28"/>
        </w:rPr>
        <w:t>的情况，</w:t>
      </w:r>
      <w:r>
        <w:rPr>
          <w:rFonts w:eastAsia="宋体" w:cs="Times New Roman"/>
          <w:sz w:val="28"/>
          <w:szCs w:val="28"/>
        </w:rPr>
        <w:t>对韶关市</w:t>
      </w:r>
      <w:bookmarkStart w:id="92" w:name="_Hlk109137582"/>
      <w:r>
        <w:rPr>
          <w:rFonts w:eastAsia="宋体" w:cs="Times New Roman"/>
          <w:sz w:val="28"/>
          <w:szCs w:val="28"/>
        </w:rPr>
        <w:t>2022~2025年的建材总产值</w:t>
      </w:r>
      <w:bookmarkEnd w:id="92"/>
      <w:r>
        <w:rPr>
          <w:rFonts w:hint="eastAsia" w:eastAsia="宋体" w:cs="Times New Roman"/>
          <w:sz w:val="28"/>
          <w:szCs w:val="28"/>
        </w:rPr>
        <w:t>进行</w:t>
      </w:r>
      <w:r>
        <w:rPr>
          <w:rFonts w:eastAsia="宋体" w:cs="Times New Roman"/>
          <w:sz w:val="28"/>
          <w:szCs w:val="28"/>
        </w:rPr>
        <w:t>预测，2022~2025年韶关市建材总产值预测结果与变化折线图如下表与下图所示</w:t>
      </w:r>
      <w:r>
        <w:rPr>
          <w:rFonts w:hint="eastAsia" w:eastAsia="宋体" w:cs="Times New Roman"/>
          <w:sz w:val="28"/>
          <w:szCs w:val="28"/>
        </w:rPr>
        <w:t>，到2025年，预计韶关市建材产业总产值可达</w:t>
      </w:r>
      <w:r>
        <w:rPr>
          <w:rFonts w:eastAsia="宋体" w:cs="Times New Roman"/>
          <w:sz w:val="28"/>
          <w:szCs w:val="28"/>
        </w:rPr>
        <w:t>137.8</w:t>
      </w:r>
      <w:r>
        <w:rPr>
          <w:rFonts w:hint="eastAsia" w:eastAsia="宋体" w:cs="Times New Roman"/>
          <w:sz w:val="28"/>
          <w:szCs w:val="28"/>
        </w:rPr>
        <w:t>亿元。</w:t>
      </w:r>
    </w:p>
    <w:p>
      <w:pPr>
        <w:pStyle w:val="26"/>
        <w:spacing w:before="156" w:beforeLines="50" w:after="156" w:afterLines="50" w:line="240" w:lineRule="auto"/>
        <w:ind w:left="0" w:leftChars="0"/>
        <w:jc w:val="center"/>
        <w:rPr>
          <w:rFonts w:cs="Times New Roman"/>
          <w:szCs w:val="21"/>
        </w:rPr>
      </w:pPr>
      <w:r>
        <w:rPr>
          <w:rFonts w:cs="Times New Roman"/>
          <w:szCs w:val="21"/>
        </w:rPr>
        <w:t>表4.3-3 韶关市2022~2025年建材产业总产值预测</w:t>
      </w:r>
    </w:p>
    <w:tbl>
      <w:tblPr>
        <w:tblStyle w:val="18"/>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7"/>
        <w:gridCol w:w="1828"/>
        <w:gridCol w:w="1828"/>
        <w:gridCol w:w="1828"/>
        <w:gridCol w:w="1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217" w:type="dxa"/>
            <w:vMerge w:val="restart"/>
            <w:shd w:val="clear" w:color="auto" w:fill="auto"/>
            <w:noWrap/>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地区</w:t>
            </w:r>
          </w:p>
        </w:tc>
        <w:tc>
          <w:tcPr>
            <w:tcW w:w="7311" w:type="dxa"/>
            <w:gridSpan w:val="4"/>
            <w:shd w:val="clear" w:color="auto" w:fill="auto"/>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总产值（万元）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217" w:type="dxa"/>
            <w:vMerge w:val="continue"/>
            <w:shd w:val="clear" w:color="auto" w:fill="auto"/>
            <w:noWrap/>
            <w:vAlign w:val="center"/>
          </w:tcPr>
          <w:p>
            <w:pPr>
              <w:widowControl/>
              <w:jc w:val="center"/>
              <w:rPr>
                <w:rFonts w:ascii="宋体" w:hAnsi="宋体" w:eastAsia="宋体" w:cs="Times New Roman"/>
                <w:kern w:val="0"/>
                <w:szCs w:val="21"/>
              </w:rPr>
            </w:pPr>
          </w:p>
        </w:tc>
        <w:tc>
          <w:tcPr>
            <w:tcW w:w="1828" w:type="dxa"/>
            <w:shd w:val="clear" w:color="auto" w:fill="auto"/>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2022</w:t>
            </w:r>
          </w:p>
        </w:tc>
        <w:tc>
          <w:tcPr>
            <w:tcW w:w="1828" w:type="dxa"/>
            <w:shd w:val="clear" w:color="auto" w:fill="auto"/>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2023</w:t>
            </w:r>
          </w:p>
        </w:tc>
        <w:tc>
          <w:tcPr>
            <w:tcW w:w="1828" w:type="dxa"/>
            <w:shd w:val="clear" w:color="auto" w:fill="auto"/>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2024</w:t>
            </w:r>
          </w:p>
        </w:tc>
        <w:tc>
          <w:tcPr>
            <w:tcW w:w="1827" w:type="dxa"/>
            <w:shd w:val="clear" w:color="auto" w:fill="auto"/>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7" w:type="dxa"/>
            <w:shd w:val="clear" w:color="auto" w:fill="auto"/>
            <w:noWrap/>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韶关市</w:t>
            </w:r>
          </w:p>
        </w:tc>
        <w:tc>
          <w:tcPr>
            <w:tcW w:w="1828" w:type="dxa"/>
            <w:shd w:val="clear" w:color="auto" w:fill="auto"/>
            <w:noWrap/>
            <w:vAlign w:val="center"/>
          </w:tcPr>
          <w:p>
            <w:pPr>
              <w:widowControl/>
              <w:jc w:val="center"/>
              <w:rPr>
                <w:rFonts w:ascii="宋体" w:hAnsi="宋体" w:eastAsia="宋体" w:cs="Times New Roman"/>
                <w:kern w:val="0"/>
                <w:szCs w:val="21"/>
              </w:rPr>
            </w:pPr>
            <w:r>
              <w:rPr>
                <w:rFonts w:ascii="宋体" w:hAnsi="宋体" w:eastAsia="宋体"/>
                <w:szCs w:val="21"/>
              </w:rPr>
              <w:t xml:space="preserve">1261042 </w:t>
            </w:r>
          </w:p>
        </w:tc>
        <w:tc>
          <w:tcPr>
            <w:tcW w:w="1828" w:type="dxa"/>
            <w:shd w:val="clear" w:color="auto" w:fill="auto"/>
            <w:noWrap/>
            <w:vAlign w:val="center"/>
          </w:tcPr>
          <w:p>
            <w:pPr>
              <w:widowControl/>
              <w:jc w:val="center"/>
              <w:rPr>
                <w:rFonts w:ascii="宋体" w:hAnsi="宋体" w:eastAsia="宋体" w:cs="Times New Roman"/>
                <w:kern w:val="0"/>
                <w:szCs w:val="21"/>
              </w:rPr>
            </w:pPr>
            <w:r>
              <w:rPr>
                <w:rFonts w:ascii="宋体" w:hAnsi="宋体" w:eastAsia="宋体"/>
                <w:szCs w:val="21"/>
              </w:rPr>
              <w:t xml:space="preserve">1298873 </w:t>
            </w:r>
          </w:p>
        </w:tc>
        <w:tc>
          <w:tcPr>
            <w:tcW w:w="1828" w:type="dxa"/>
            <w:shd w:val="clear" w:color="auto" w:fill="auto"/>
            <w:noWrap/>
            <w:vAlign w:val="center"/>
          </w:tcPr>
          <w:p>
            <w:pPr>
              <w:widowControl/>
              <w:jc w:val="center"/>
              <w:rPr>
                <w:rFonts w:ascii="宋体" w:hAnsi="宋体" w:eastAsia="宋体" w:cs="Times New Roman"/>
                <w:kern w:val="0"/>
                <w:szCs w:val="21"/>
              </w:rPr>
            </w:pPr>
            <w:r>
              <w:rPr>
                <w:rFonts w:ascii="宋体" w:hAnsi="宋体" w:eastAsia="宋体"/>
                <w:szCs w:val="21"/>
              </w:rPr>
              <w:t xml:space="preserve">1337839 </w:t>
            </w:r>
          </w:p>
        </w:tc>
        <w:tc>
          <w:tcPr>
            <w:tcW w:w="1827" w:type="dxa"/>
            <w:shd w:val="clear" w:color="auto" w:fill="auto"/>
            <w:noWrap/>
            <w:vAlign w:val="center"/>
          </w:tcPr>
          <w:p>
            <w:pPr>
              <w:widowControl/>
              <w:jc w:val="center"/>
              <w:rPr>
                <w:rFonts w:ascii="宋体" w:hAnsi="宋体" w:eastAsia="宋体" w:cs="Times New Roman"/>
                <w:kern w:val="0"/>
                <w:szCs w:val="21"/>
              </w:rPr>
            </w:pPr>
            <w:r>
              <w:rPr>
                <w:rFonts w:ascii="宋体" w:hAnsi="宋体" w:eastAsia="宋体"/>
                <w:szCs w:val="21"/>
              </w:rPr>
              <w:t xml:space="preserve">1377974 </w:t>
            </w:r>
          </w:p>
        </w:tc>
      </w:tr>
    </w:tbl>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334000" cy="320294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346926" cy="3211122"/>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图4.3-12韶关市建材产业总产值变化折线图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各县（市、区）现有建材企业类型与未来发展方向存在较大差异，建材发展潜力和绿色建材在建材产业中的占比均有所不同，如仁化县现有建材企业多为传统建材，但未来预计依靠丰富竹木资源优势大力发展环保板材；南雄市和翁源县拥有良好的发展环保涂料基础；浈江区和乳源县受限于自身发展定位，未来建材行业发展有限</w:t>
      </w:r>
      <w:r>
        <w:rPr>
          <w:rFonts w:hint="eastAsia" w:eastAsia="宋体" w:cs="Times New Roman"/>
          <w:sz w:val="28"/>
          <w:szCs w:val="28"/>
        </w:rPr>
        <w:t>。</w:t>
      </w:r>
      <w:r>
        <w:rPr>
          <w:rFonts w:eastAsia="宋体" w:cs="Times New Roman"/>
          <w:sz w:val="28"/>
          <w:szCs w:val="28"/>
        </w:rPr>
        <w:t>在综合考虑了4.3.1节各县（市、区）现有发展基础和4.3.2节未来发展策略后</w:t>
      </w:r>
      <w:r>
        <w:rPr>
          <w:rFonts w:hint="eastAsia" w:eastAsia="宋体" w:cs="Times New Roman"/>
          <w:sz w:val="28"/>
          <w:szCs w:val="28"/>
        </w:rPr>
        <w:t>，</w:t>
      </w:r>
      <w:bookmarkStart w:id="93" w:name="_Hlk114756384"/>
      <w:r>
        <w:rPr>
          <w:rFonts w:hint="eastAsia" w:eastAsia="宋体" w:cs="Times New Roman"/>
          <w:sz w:val="28"/>
          <w:szCs w:val="28"/>
        </w:rPr>
        <w:t>给各区县市设定不同的绿色建材占全部建材的比例</w:t>
      </w:r>
      <w:bookmarkEnd w:id="93"/>
      <w:r>
        <w:rPr>
          <w:rFonts w:eastAsia="宋体" w:cs="Times New Roman"/>
          <w:sz w:val="28"/>
          <w:szCs w:val="28"/>
        </w:rPr>
        <w:t>，</w:t>
      </w:r>
      <w:r>
        <w:rPr>
          <w:rFonts w:hint="eastAsia" w:eastAsia="宋体" w:cs="Times New Roman"/>
          <w:sz w:val="28"/>
          <w:szCs w:val="28"/>
        </w:rPr>
        <w:t>计算后得出</w:t>
      </w:r>
      <w:r>
        <w:rPr>
          <w:rFonts w:eastAsia="宋体" w:cs="Times New Roman"/>
          <w:sz w:val="28"/>
          <w:szCs w:val="28"/>
        </w:rPr>
        <w:t>2025年各县（市、区）绿色建材产值目标如下表所示，预期韶关市2025年绿色建材总产值可达56亿元</w:t>
      </w:r>
      <w:r>
        <w:rPr>
          <w:rFonts w:hint="eastAsia" w:eastAsia="宋体" w:cs="Times New Roman"/>
          <w:sz w:val="28"/>
          <w:szCs w:val="28"/>
        </w:rPr>
        <w:t>以上</w:t>
      </w:r>
      <w:r>
        <w:rPr>
          <w:rFonts w:eastAsia="宋体" w:cs="Times New Roman"/>
          <w:sz w:val="28"/>
          <w:szCs w:val="28"/>
        </w:rPr>
        <w:t>。</w:t>
      </w:r>
    </w:p>
    <w:p>
      <w:pPr>
        <w:pStyle w:val="26"/>
        <w:spacing w:before="156" w:beforeLines="50" w:after="156" w:afterLines="50" w:line="240" w:lineRule="auto"/>
        <w:ind w:left="0" w:leftChars="0"/>
        <w:jc w:val="center"/>
        <w:rPr>
          <w:rFonts w:cs="Times New Roman"/>
          <w:szCs w:val="21"/>
        </w:rPr>
      </w:pPr>
      <w:r>
        <w:rPr>
          <w:rFonts w:cs="Times New Roman"/>
          <w:szCs w:val="21"/>
        </w:rPr>
        <w:t>表4.3-4 韶关市2025年绿色建材产业总产值预测</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97"/>
        <w:gridCol w:w="54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blHeader/>
          <w:jc w:val="center"/>
        </w:trPr>
        <w:tc>
          <w:tcPr>
            <w:tcW w:w="3097"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5431"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绿色建材产值（单位：亿元）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浈江区</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曲江区</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5.91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武江区</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5.96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乐昌市</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7.35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南雄市</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5.78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仁化县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3.44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始兴县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2.33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翁源县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9.79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新丰县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13.31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乳源县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韶关市</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56.62 </w:t>
            </w:r>
          </w:p>
        </w:tc>
      </w:tr>
    </w:tbl>
    <w:p>
      <w:pPr>
        <w:pStyle w:val="26"/>
        <w:spacing w:before="156" w:beforeLines="50" w:after="156" w:afterLines="50" w:line="240" w:lineRule="auto"/>
        <w:ind w:left="0" w:leftChars="0"/>
        <w:jc w:val="center"/>
        <w:rPr>
          <w:rFonts w:cs="Times New Roman"/>
          <w:szCs w:val="21"/>
        </w:rPr>
      </w:pP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4.3.3 建材产业直接投入分析</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预期“十四五”期间，全市城镇新增绿色建筑面积约2286.5万平方米，实施绿色建筑技术的增量投资约为9.2亿元；规划绿色节能改造建筑面积50万平方米，投资1.5亿元；太阳能热水集热面积10万平方米，投资约0.9亿元；太阳能光伏装机容量5兆瓦，投资约1.2亿元；超低能耗建筑示范2个，投资约0.4亿元；装配式建筑460万平方米，投资增量18.4亿元。</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t>表4.3-5 绿色建筑投资估算</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1821"/>
        <w:gridCol w:w="1842"/>
        <w:gridCol w:w="2534"/>
        <w:gridCol w:w="14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92" w:type="pct"/>
            <w:vAlign w:val="center"/>
          </w:tcPr>
          <w:p>
            <w:pPr>
              <w:adjustRightInd w:val="0"/>
              <w:snapToGrid w:val="0"/>
              <w:jc w:val="center"/>
              <w:rPr>
                <w:rFonts w:ascii="Times New Roman" w:hAnsi="Times New Roman" w:cs="Times New Roman"/>
                <w:b/>
                <w:szCs w:val="21"/>
              </w:rPr>
            </w:pPr>
            <w:r>
              <w:rPr>
                <w:rFonts w:ascii="Times New Roman" w:hAnsi="Times New Roman" w:cs="Times New Roman"/>
                <w:b/>
                <w:szCs w:val="21"/>
              </w:rPr>
              <w:t>序号</w:t>
            </w:r>
          </w:p>
        </w:tc>
        <w:tc>
          <w:tcPr>
            <w:tcW w:w="1068" w:type="pct"/>
            <w:vAlign w:val="center"/>
          </w:tcPr>
          <w:p>
            <w:pPr>
              <w:adjustRightInd w:val="0"/>
              <w:snapToGrid w:val="0"/>
              <w:jc w:val="center"/>
              <w:rPr>
                <w:rFonts w:ascii="Times New Roman" w:hAnsi="Times New Roman" w:cs="Times New Roman"/>
                <w:b/>
                <w:szCs w:val="21"/>
              </w:rPr>
            </w:pPr>
            <w:r>
              <w:rPr>
                <w:rFonts w:ascii="Times New Roman" w:hAnsi="Times New Roman" w:cs="Times New Roman"/>
                <w:b/>
                <w:szCs w:val="21"/>
              </w:rPr>
              <w:t>建设内容</w:t>
            </w:r>
          </w:p>
        </w:tc>
        <w:tc>
          <w:tcPr>
            <w:tcW w:w="1080" w:type="pct"/>
            <w:vAlign w:val="center"/>
          </w:tcPr>
          <w:p>
            <w:pPr>
              <w:adjustRightInd w:val="0"/>
              <w:snapToGrid w:val="0"/>
              <w:jc w:val="center"/>
              <w:rPr>
                <w:rFonts w:ascii="Times New Roman" w:hAnsi="Times New Roman" w:cs="Times New Roman"/>
                <w:b/>
                <w:szCs w:val="21"/>
              </w:rPr>
            </w:pPr>
            <w:r>
              <w:rPr>
                <w:rFonts w:ascii="Times New Roman" w:hAnsi="Times New Roman" w:cs="Times New Roman"/>
                <w:b/>
                <w:szCs w:val="21"/>
              </w:rPr>
              <w:t>建设规模</w:t>
            </w:r>
          </w:p>
        </w:tc>
        <w:tc>
          <w:tcPr>
            <w:tcW w:w="1486" w:type="pct"/>
            <w:vAlign w:val="center"/>
          </w:tcPr>
          <w:p>
            <w:pPr>
              <w:adjustRightInd w:val="0"/>
              <w:snapToGrid w:val="0"/>
              <w:jc w:val="center"/>
              <w:rPr>
                <w:rFonts w:ascii="Times New Roman" w:hAnsi="Times New Roman" w:cs="Times New Roman"/>
                <w:b/>
                <w:szCs w:val="21"/>
              </w:rPr>
            </w:pPr>
            <w:r>
              <w:rPr>
                <w:rFonts w:hint="eastAsia" w:ascii="Times New Roman" w:hAnsi="Times New Roman" w:cs="Times New Roman"/>
                <w:b/>
                <w:szCs w:val="21"/>
              </w:rPr>
              <w:t>投资成本</w:t>
            </w:r>
          </w:p>
        </w:tc>
        <w:tc>
          <w:tcPr>
            <w:tcW w:w="874" w:type="pct"/>
            <w:vAlign w:val="center"/>
          </w:tcPr>
          <w:p>
            <w:pPr>
              <w:adjustRightInd w:val="0"/>
              <w:snapToGrid w:val="0"/>
              <w:jc w:val="center"/>
              <w:rPr>
                <w:rFonts w:ascii="Times New Roman" w:hAnsi="Times New Roman" w:cs="Times New Roman"/>
                <w:b/>
                <w:szCs w:val="21"/>
              </w:rPr>
            </w:pPr>
            <w:r>
              <w:rPr>
                <w:rFonts w:ascii="Times New Roman" w:hAnsi="Times New Roman" w:cs="Times New Roman"/>
                <w:b/>
                <w:szCs w:val="21"/>
              </w:rPr>
              <w:t>投资估算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2" w:type="pct"/>
            <w:vAlign w:val="center"/>
          </w:tcPr>
          <w:p>
            <w:pPr>
              <w:widowControl/>
              <w:adjustRightInd w:val="0"/>
              <w:snapToGrid w:val="0"/>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1</w:t>
            </w:r>
          </w:p>
        </w:tc>
        <w:tc>
          <w:tcPr>
            <w:tcW w:w="1068" w:type="pct"/>
            <w:vAlign w:val="center"/>
          </w:tcPr>
          <w:p>
            <w:pPr>
              <w:widowControl/>
              <w:adjustRightInd w:val="0"/>
              <w:snapToGrid w:val="0"/>
              <w:jc w:val="left"/>
              <w:textAlignment w:val="center"/>
              <w:rPr>
                <w:rFonts w:ascii="Times New Roman" w:hAnsi="Times New Roman" w:eastAsia="仿宋_GB2312" w:cs="Times New Roman"/>
                <w:bCs/>
                <w:szCs w:val="21"/>
              </w:rPr>
            </w:pPr>
            <w:r>
              <w:rPr>
                <w:rFonts w:ascii="Times New Roman" w:hAnsi="Times New Roman" w:cs="Times New Roman"/>
                <w:kern w:val="0"/>
                <w:szCs w:val="21"/>
                <w:lang w:bidi="ar"/>
              </w:rPr>
              <w:t>绿色建筑技术</w:t>
            </w:r>
          </w:p>
        </w:tc>
        <w:tc>
          <w:tcPr>
            <w:tcW w:w="1080" w:type="pct"/>
            <w:vAlign w:val="center"/>
          </w:tcPr>
          <w:p>
            <w:pPr>
              <w:widowControl/>
              <w:adjustRightInd w:val="0"/>
              <w:snapToGrid w:val="0"/>
              <w:jc w:val="center"/>
              <w:textAlignment w:val="center"/>
              <w:rPr>
                <w:rFonts w:ascii="Times New Roman" w:hAnsi="Times New Roman" w:eastAsia="仿宋_GB2312" w:cs="Times New Roman"/>
                <w:bCs/>
                <w:szCs w:val="21"/>
              </w:rPr>
            </w:pPr>
            <w:r>
              <w:rPr>
                <w:rFonts w:ascii="Times New Roman" w:hAnsi="Times New Roman" w:cs="Times New Roman"/>
                <w:bCs/>
                <w:szCs w:val="21"/>
              </w:rPr>
              <w:t>2286.5万平方米</w:t>
            </w:r>
          </w:p>
        </w:tc>
        <w:tc>
          <w:tcPr>
            <w:tcW w:w="1486" w:type="pct"/>
            <w:vAlign w:val="center"/>
          </w:tcPr>
          <w:p>
            <w:pPr>
              <w:widowControl/>
              <w:adjustRightInd w:val="0"/>
              <w:snapToGrid w:val="0"/>
              <w:jc w:val="center"/>
              <w:textAlignment w:val="center"/>
              <w:rPr>
                <w:rFonts w:ascii="Times New Roman" w:hAnsi="Times New Roman" w:cs="Times New Roman"/>
                <w:bCs/>
                <w:szCs w:val="21"/>
              </w:rPr>
            </w:pPr>
            <w:r>
              <w:rPr>
                <w:rFonts w:hint="eastAsia" w:ascii="Times New Roman" w:hAnsi="Times New Roman" w:cs="Times New Roman"/>
                <w:bCs/>
                <w:szCs w:val="21"/>
              </w:rPr>
              <w:t>绿色建筑增量成本约为40元/平方米</w:t>
            </w:r>
          </w:p>
        </w:tc>
        <w:tc>
          <w:tcPr>
            <w:tcW w:w="874" w:type="pct"/>
            <w:vAlign w:val="center"/>
          </w:tcPr>
          <w:p>
            <w:pPr>
              <w:widowControl/>
              <w:adjustRightInd w:val="0"/>
              <w:snapToGrid w:val="0"/>
              <w:jc w:val="center"/>
              <w:textAlignment w:val="center"/>
              <w:rPr>
                <w:rFonts w:ascii="Times New Roman" w:hAnsi="Times New Roman" w:cs="Times New Roman"/>
                <w:bCs/>
                <w:szCs w:val="21"/>
              </w:rPr>
            </w:pPr>
            <w:r>
              <w:rPr>
                <w:rFonts w:ascii="Times New Roman" w:hAnsi="Times New Roman" w:cs="Times New Roman"/>
                <w:bCs/>
                <w:szCs w:val="21"/>
              </w:rPr>
              <w:t>9.1亿元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2" w:type="pct"/>
            <w:vAlign w:val="center"/>
          </w:tcPr>
          <w:p>
            <w:pPr>
              <w:widowControl/>
              <w:adjustRightInd w:val="0"/>
              <w:snapToGrid w:val="0"/>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2</w:t>
            </w:r>
          </w:p>
        </w:tc>
        <w:tc>
          <w:tcPr>
            <w:tcW w:w="1068" w:type="pct"/>
            <w:vAlign w:val="center"/>
          </w:tcPr>
          <w:p>
            <w:pPr>
              <w:widowControl/>
              <w:adjustRightInd w:val="0"/>
              <w:snapToGrid w:val="0"/>
              <w:jc w:val="left"/>
              <w:textAlignment w:val="center"/>
              <w:rPr>
                <w:rFonts w:ascii="Times New Roman" w:hAnsi="Times New Roman" w:eastAsia="仿宋_GB2312" w:cs="Times New Roman"/>
                <w:bCs/>
                <w:szCs w:val="21"/>
              </w:rPr>
            </w:pPr>
            <w:r>
              <w:rPr>
                <w:rFonts w:ascii="Times New Roman" w:hAnsi="Times New Roman" w:cs="Times New Roman"/>
                <w:bCs/>
                <w:szCs w:val="21"/>
              </w:rPr>
              <w:t>绿色节能改造</w:t>
            </w:r>
          </w:p>
        </w:tc>
        <w:tc>
          <w:tcPr>
            <w:tcW w:w="1080" w:type="pct"/>
            <w:vAlign w:val="center"/>
          </w:tcPr>
          <w:p>
            <w:pPr>
              <w:widowControl/>
              <w:adjustRightInd w:val="0"/>
              <w:snapToGrid w:val="0"/>
              <w:jc w:val="center"/>
              <w:textAlignment w:val="center"/>
              <w:rPr>
                <w:rFonts w:ascii="Times New Roman" w:hAnsi="Times New Roman" w:eastAsia="仿宋_GB2312" w:cs="Times New Roman"/>
                <w:kern w:val="0"/>
                <w:szCs w:val="21"/>
              </w:rPr>
            </w:pPr>
            <w:r>
              <w:rPr>
                <w:rFonts w:ascii="Times New Roman" w:hAnsi="Times New Roman" w:cs="Times New Roman"/>
                <w:kern w:val="0"/>
                <w:szCs w:val="21"/>
              </w:rPr>
              <w:t>50万平方米</w:t>
            </w:r>
          </w:p>
        </w:tc>
        <w:tc>
          <w:tcPr>
            <w:tcW w:w="1486" w:type="pct"/>
            <w:vAlign w:val="center"/>
          </w:tcPr>
          <w:p>
            <w:pPr>
              <w:widowControl/>
              <w:adjustRightInd w:val="0"/>
              <w:snapToGrid w:val="0"/>
              <w:jc w:val="center"/>
              <w:textAlignment w:val="center"/>
              <w:rPr>
                <w:rFonts w:ascii="Times New Roman" w:hAnsi="Times New Roman" w:cs="Times New Roman"/>
                <w:bCs/>
                <w:szCs w:val="21"/>
              </w:rPr>
            </w:pPr>
            <w:r>
              <w:rPr>
                <w:rFonts w:hint="eastAsia" w:ascii="Times New Roman" w:hAnsi="Times New Roman" w:cs="Times New Roman"/>
                <w:bCs/>
                <w:szCs w:val="21"/>
              </w:rPr>
              <w:t>约300元/㎡</w:t>
            </w:r>
          </w:p>
        </w:tc>
        <w:tc>
          <w:tcPr>
            <w:tcW w:w="874" w:type="pct"/>
            <w:vAlign w:val="center"/>
          </w:tcPr>
          <w:p>
            <w:pPr>
              <w:widowControl/>
              <w:adjustRightInd w:val="0"/>
              <w:snapToGrid w:val="0"/>
              <w:jc w:val="center"/>
              <w:textAlignment w:val="center"/>
              <w:rPr>
                <w:rFonts w:ascii="Times New Roman" w:hAnsi="Times New Roman" w:cs="Times New Roman"/>
                <w:bCs/>
                <w:szCs w:val="21"/>
              </w:rPr>
            </w:pPr>
            <w:r>
              <w:rPr>
                <w:rFonts w:ascii="Times New Roman" w:hAnsi="Times New Roman" w:cs="Times New Roman"/>
                <w:bCs/>
                <w:szCs w:val="21"/>
              </w:rPr>
              <w:t>1.5亿元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2" w:type="pct"/>
            <w:vAlign w:val="center"/>
          </w:tcPr>
          <w:p>
            <w:pPr>
              <w:widowControl/>
              <w:adjustRightInd w:val="0"/>
              <w:snapToGrid w:val="0"/>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3</w:t>
            </w:r>
          </w:p>
        </w:tc>
        <w:tc>
          <w:tcPr>
            <w:tcW w:w="1068" w:type="pct"/>
            <w:vAlign w:val="center"/>
          </w:tcPr>
          <w:p>
            <w:pPr>
              <w:widowControl/>
              <w:adjustRightInd w:val="0"/>
              <w:snapToGrid w:val="0"/>
              <w:jc w:val="left"/>
              <w:textAlignment w:val="center"/>
              <w:rPr>
                <w:rFonts w:ascii="Times New Roman" w:hAnsi="Times New Roman" w:eastAsia="仿宋_GB2312" w:cs="Times New Roman"/>
                <w:bCs/>
                <w:szCs w:val="21"/>
              </w:rPr>
            </w:pPr>
            <w:r>
              <w:rPr>
                <w:rFonts w:ascii="Times New Roman" w:hAnsi="Times New Roman" w:cs="Times New Roman"/>
                <w:bCs/>
                <w:szCs w:val="21"/>
              </w:rPr>
              <w:t>太阳能热水集热面积</w:t>
            </w:r>
          </w:p>
        </w:tc>
        <w:tc>
          <w:tcPr>
            <w:tcW w:w="1080" w:type="pct"/>
            <w:vAlign w:val="center"/>
          </w:tcPr>
          <w:p>
            <w:pPr>
              <w:widowControl/>
              <w:adjustRightInd w:val="0"/>
              <w:snapToGrid w:val="0"/>
              <w:jc w:val="center"/>
              <w:textAlignment w:val="center"/>
              <w:rPr>
                <w:rFonts w:ascii="Times New Roman" w:hAnsi="Times New Roman" w:eastAsia="仿宋_GB2312" w:cs="Times New Roman"/>
                <w:bCs/>
                <w:szCs w:val="21"/>
              </w:rPr>
            </w:pPr>
            <w:r>
              <w:rPr>
                <w:rFonts w:ascii="Times New Roman" w:hAnsi="Times New Roman" w:cs="Times New Roman"/>
                <w:bCs/>
                <w:szCs w:val="21"/>
              </w:rPr>
              <w:t>10万平方米</w:t>
            </w:r>
          </w:p>
        </w:tc>
        <w:tc>
          <w:tcPr>
            <w:tcW w:w="1486" w:type="pct"/>
            <w:vAlign w:val="center"/>
          </w:tcPr>
          <w:p>
            <w:pPr>
              <w:widowControl/>
              <w:adjustRightInd w:val="0"/>
              <w:snapToGrid w:val="0"/>
              <w:jc w:val="center"/>
              <w:textAlignment w:val="center"/>
              <w:rPr>
                <w:rFonts w:ascii="Times New Roman" w:hAnsi="Times New Roman" w:cs="Times New Roman"/>
                <w:bCs/>
                <w:szCs w:val="21"/>
              </w:rPr>
            </w:pPr>
            <w:r>
              <w:rPr>
                <w:rFonts w:hint="eastAsia" w:ascii="Times New Roman" w:hAnsi="Times New Roman" w:cs="Times New Roman"/>
                <w:bCs/>
                <w:szCs w:val="21"/>
              </w:rPr>
              <w:t>约900元/㎡</w:t>
            </w:r>
          </w:p>
        </w:tc>
        <w:tc>
          <w:tcPr>
            <w:tcW w:w="874" w:type="pct"/>
            <w:vAlign w:val="center"/>
          </w:tcPr>
          <w:p>
            <w:pPr>
              <w:widowControl/>
              <w:adjustRightInd w:val="0"/>
              <w:snapToGrid w:val="0"/>
              <w:jc w:val="center"/>
              <w:textAlignment w:val="center"/>
              <w:rPr>
                <w:rFonts w:ascii="Times New Roman" w:hAnsi="Times New Roman" w:cs="Times New Roman"/>
                <w:bCs/>
                <w:szCs w:val="21"/>
              </w:rPr>
            </w:pPr>
            <w:r>
              <w:rPr>
                <w:rFonts w:ascii="Times New Roman" w:hAnsi="Times New Roman" w:cs="Times New Roman"/>
                <w:bCs/>
                <w:szCs w:val="21"/>
              </w:rPr>
              <w:t>0.9亿元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2" w:type="pct"/>
            <w:vAlign w:val="center"/>
          </w:tcPr>
          <w:p>
            <w:pPr>
              <w:widowControl/>
              <w:adjustRightInd w:val="0"/>
              <w:snapToGrid w:val="0"/>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4</w:t>
            </w:r>
          </w:p>
        </w:tc>
        <w:tc>
          <w:tcPr>
            <w:tcW w:w="1068" w:type="pct"/>
            <w:vAlign w:val="center"/>
          </w:tcPr>
          <w:p>
            <w:pPr>
              <w:widowControl/>
              <w:adjustRightInd w:val="0"/>
              <w:snapToGrid w:val="0"/>
              <w:jc w:val="left"/>
              <w:textAlignment w:val="center"/>
              <w:rPr>
                <w:rFonts w:ascii="Times New Roman" w:hAnsi="Times New Roman" w:eastAsia="仿宋_GB2312" w:cs="Times New Roman"/>
                <w:bCs/>
                <w:szCs w:val="21"/>
              </w:rPr>
            </w:pPr>
            <w:r>
              <w:rPr>
                <w:rFonts w:ascii="Times New Roman" w:hAnsi="Times New Roman" w:cs="Times New Roman"/>
                <w:bCs/>
                <w:szCs w:val="21"/>
              </w:rPr>
              <w:t>太阳能光伏装机容量</w:t>
            </w:r>
          </w:p>
        </w:tc>
        <w:tc>
          <w:tcPr>
            <w:tcW w:w="1080" w:type="pct"/>
            <w:vAlign w:val="center"/>
          </w:tcPr>
          <w:p>
            <w:pPr>
              <w:widowControl/>
              <w:adjustRightInd w:val="0"/>
              <w:snapToGrid w:val="0"/>
              <w:jc w:val="center"/>
              <w:textAlignment w:val="center"/>
              <w:rPr>
                <w:rFonts w:ascii="Times New Roman" w:hAnsi="Times New Roman" w:eastAsia="仿宋_GB2312" w:cs="Times New Roman"/>
                <w:bCs/>
                <w:szCs w:val="21"/>
              </w:rPr>
            </w:pPr>
            <w:r>
              <w:rPr>
                <w:rFonts w:ascii="Times New Roman" w:hAnsi="Times New Roman" w:cs="Times New Roman"/>
                <w:bCs/>
                <w:szCs w:val="21"/>
              </w:rPr>
              <w:t>5兆瓦</w:t>
            </w:r>
          </w:p>
        </w:tc>
        <w:tc>
          <w:tcPr>
            <w:tcW w:w="1486" w:type="pct"/>
            <w:vAlign w:val="center"/>
          </w:tcPr>
          <w:p>
            <w:pPr>
              <w:widowControl/>
              <w:adjustRightInd w:val="0"/>
              <w:snapToGrid w:val="0"/>
              <w:jc w:val="center"/>
              <w:textAlignment w:val="center"/>
              <w:rPr>
                <w:rFonts w:ascii="Times New Roman" w:hAnsi="Times New Roman" w:cs="Times New Roman"/>
                <w:bCs/>
                <w:szCs w:val="21"/>
              </w:rPr>
            </w:pPr>
            <w:r>
              <w:rPr>
                <w:rFonts w:hint="eastAsia" w:ascii="Times New Roman" w:hAnsi="Times New Roman" w:cs="Times New Roman"/>
                <w:bCs/>
                <w:szCs w:val="21"/>
              </w:rPr>
              <w:t>综合按380万元/兆瓦</w:t>
            </w:r>
          </w:p>
        </w:tc>
        <w:tc>
          <w:tcPr>
            <w:tcW w:w="874" w:type="pct"/>
            <w:vAlign w:val="center"/>
          </w:tcPr>
          <w:p>
            <w:pPr>
              <w:widowControl/>
              <w:adjustRightInd w:val="0"/>
              <w:snapToGrid w:val="0"/>
              <w:jc w:val="center"/>
              <w:textAlignment w:val="center"/>
              <w:rPr>
                <w:rFonts w:ascii="Times New Roman" w:hAnsi="Times New Roman" w:eastAsia="仿宋_GB2312" w:cs="Times New Roman"/>
                <w:bCs/>
                <w:szCs w:val="21"/>
              </w:rPr>
            </w:pPr>
            <w:r>
              <w:rPr>
                <w:rFonts w:ascii="Times New Roman" w:hAnsi="Times New Roman" w:cs="Times New Roman"/>
                <w:bCs/>
                <w:szCs w:val="21"/>
              </w:rPr>
              <w:t>0.2亿元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2" w:type="pct"/>
            <w:vAlign w:val="center"/>
          </w:tcPr>
          <w:p>
            <w:pPr>
              <w:widowControl/>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5</w:t>
            </w:r>
          </w:p>
        </w:tc>
        <w:tc>
          <w:tcPr>
            <w:tcW w:w="1068" w:type="pct"/>
            <w:vAlign w:val="center"/>
          </w:tcPr>
          <w:p>
            <w:pPr>
              <w:widowControl/>
              <w:jc w:val="left"/>
              <w:textAlignment w:val="center"/>
              <w:rPr>
                <w:rFonts w:ascii="Times New Roman" w:hAnsi="Times New Roman" w:eastAsia="仿宋_GB2312" w:cs="Times New Roman"/>
                <w:bCs/>
                <w:szCs w:val="21"/>
              </w:rPr>
            </w:pPr>
            <w:r>
              <w:rPr>
                <w:rFonts w:ascii="Times New Roman" w:hAnsi="Times New Roman" w:cs="Times New Roman"/>
                <w:bCs/>
                <w:szCs w:val="21"/>
              </w:rPr>
              <w:t>超低能耗建筑示范</w:t>
            </w:r>
          </w:p>
        </w:tc>
        <w:tc>
          <w:tcPr>
            <w:tcW w:w="1080" w:type="pct"/>
            <w:vAlign w:val="center"/>
          </w:tcPr>
          <w:p>
            <w:pPr>
              <w:widowControl/>
              <w:jc w:val="center"/>
              <w:textAlignment w:val="center"/>
              <w:rPr>
                <w:rFonts w:ascii="Times New Roman" w:hAnsi="Times New Roman" w:eastAsia="仿宋_GB2312" w:cs="Times New Roman"/>
                <w:bCs/>
                <w:szCs w:val="21"/>
              </w:rPr>
            </w:pPr>
            <w:r>
              <w:rPr>
                <w:rFonts w:ascii="Times New Roman" w:hAnsi="Times New Roman" w:cs="Times New Roman"/>
                <w:bCs/>
                <w:szCs w:val="21"/>
              </w:rPr>
              <w:t>2个</w:t>
            </w:r>
          </w:p>
        </w:tc>
        <w:tc>
          <w:tcPr>
            <w:tcW w:w="1486" w:type="pct"/>
            <w:vAlign w:val="center"/>
          </w:tcPr>
          <w:p>
            <w:pPr>
              <w:widowControl/>
              <w:jc w:val="center"/>
              <w:textAlignment w:val="center"/>
              <w:rPr>
                <w:rFonts w:ascii="Times New Roman" w:hAnsi="Times New Roman" w:cs="Times New Roman"/>
                <w:bCs/>
                <w:szCs w:val="21"/>
              </w:rPr>
            </w:pPr>
            <w:r>
              <w:rPr>
                <w:rFonts w:hint="eastAsia" w:ascii="Times New Roman" w:hAnsi="Times New Roman" w:cs="Times New Roman"/>
                <w:bCs/>
                <w:szCs w:val="21"/>
              </w:rPr>
              <w:t>按每个项目2000万元算</w:t>
            </w:r>
          </w:p>
        </w:tc>
        <w:tc>
          <w:tcPr>
            <w:tcW w:w="874" w:type="pct"/>
            <w:vAlign w:val="center"/>
          </w:tcPr>
          <w:p>
            <w:pPr>
              <w:widowControl/>
              <w:jc w:val="center"/>
              <w:textAlignment w:val="center"/>
              <w:rPr>
                <w:rFonts w:ascii="Times New Roman" w:hAnsi="Times New Roman" w:eastAsia="仿宋_GB2312" w:cs="Times New Roman"/>
                <w:bCs/>
                <w:szCs w:val="21"/>
              </w:rPr>
            </w:pPr>
            <w:r>
              <w:rPr>
                <w:rFonts w:ascii="Times New Roman" w:hAnsi="Times New Roman" w:cs="Times New Roman"/>
                <w:bCs/>
                <w:szCs w:val="21"/>
              </w:rPr>
              <w:t>0.4亿元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2" w:type="pct"/>
            <w:vAlign w:val="center"/>
          </w:tcPr>
          <w:p>
            <w:pPr>
              <w:widowControl/>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6</w:t>
            </w:r>
          </w:p>
        </w:tc>
        <w:tc>
          <w:tcPr>
            <w:tcW w:w="1068" w:type="pct"/>
            <w:vAlign w:val="center"/>
          </w:tcPr>
          <w:p>
            <w:pPr>
              <w:widowControl/>
              <w:jc w:val="left"/>
              <w:textAlignment w:val="center"/>
              <w:rPr>
                <w:rFonts w:ascii="Times New Roman" w:hAnsi="Times New Roman" w:eastAsia="仿宋_GB2312" w:cs="Times New Roman"/>
                <w:bCs/>
                <w:szCs w:val="21"/>
              </w:rPr>
            </w:pPr>
            <w:r>
              <w:rPr>
                <w:rFonts w:ascii="Times New Roman" w:hAnsi="Times New Roman" w:cs="Times New Roman"/>
                <w:bCs/>
                <w:szCs w:val="21"/>
              </w:rPr>
              <w:t>装配式建筑技术</w:t>
            </w:r>
          </w:p>
        </w:tc>
        <w:tc>
          <w:tcPr>
            <w:tcW w:w="1080" w:type="pct"/>
            <w:vAlign w:val="center"/>
          </w:tcPr>
          <w:p>
            <w:pPr>
              <w:widowControl/>
              <w:jc w:val="center"/>
              <w:textAlignment w:val="center"/>
              <w:rPr>
                <w:rFonts w:ascii="Times New Roman" w:hAnsi="Times New Roman" w:eastAsia="仿宋_GB2312" w:cs="Times New Roman"/>
                <w:bCs/>
                <w:szCs w:val="21"/>
              </w:rPr>
            </w:pPr>
            <w:r>
              <w:rPr>
                <w:rFonts w:ascii="Times New Roman" w:hAnsi="Times New Roman" w:cs="Times New Roman"/>
                <w:bCs/>
                <w:szCs w:val="21"/>
              </w:rPr>
              <w:t>460.2平方米</w:t>
            </w:r>
          </w:p>
        </w:tc>
        <w:tc>
          <w:tcPr>
            <w:tcW w:w="1486" w:type="pct"/>
            <w:vAlign w:val="center"/>
          </w:tcPr>
          <w:p>
            <w:pPr>
              <w:widowControl/>
              <w:jc w:val="center"/>
              <w:textAlignment w:val="center"/>
              <w:rPr>
                <w:rFonts w:ascii="Times New Roman" w:hAnsi="Times New Roman" w:cs="Times New Roman"/>
                <w:bCs/>
                <w:szCs w:val="21"/>
              </w:rPr>
            </w:pPr>
            <w:r>
              <w:rPr>
                <w:rFonts w:hint="eastAsia" w:ascii="Times New Roman" w:hAnsi="Times New Roman" w:cs="Times New Roman"/>
                <w:bCs/>
                <w:szCs w:val="21"/>
              </w:rPr>
              <w:t xml:space="preserve"> </w:t>
            </w:r>
            <w:r>
              <w:rPr>
                <w:rFonts w:hint="eastAsia"/>
              </w:rPr>
              <w:t>装配式建筑增量成本取400元/平方米估算</w:t>
            </w:r>
          </w:p>
        </w:tc>
        <w:tc>
          <w:tcPr>
            <w:tcW w:w="874" w:type="pct"/>
            <w:vAlign w:val="center"/>
          </w:tcPr>
          <w:p>
            <w:pPr>
              <w:widowControl/>
              <w:jc w:val="center"/>
              <w:textAlignment w:val="center"/>
              <w:rPr>
                <w:rFonts w:ascii="Times New Roman" w:hAnsi="Times New Roman" w:eastAsia="仿宋_GB2312" w:cs="Times New Roman"/>
                <w:bCs/>
                <w:szCs w:val="21"/>
              </w:rPr>
            </w:pPr>
            <w:r>
              <w:rPr>
                <w:rFonts w:ascii="Times New Roman" w:hAnsi="Times New Roman" w:cs="Times New Roman"/>
                <w:bCs/>
                <w:szCs w:val="21"/>
              </w:rPr>
              <w:t>18.4亿元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0" w:type="pct"/>
            <w:gridSpan w:val="2"/>
            <w:vAlign w:val="center"/>
          </w:tcPr>
          <w:p>
            <w:pPr>
              <w:jc w:val="center"/>
              <w:rPr>
                <w:rFonts w:ascii="Times New Roman" w:hAnsi="Times New Roman" w:cs="Times New Roman"/>
                <w:bCs/>
                <w:szCs w:val="21"/>
              </w:rPr>
            </w:pPr>
            <w:r>
              <w:rPr>
                <w:rFonts w:ascii="Times New Roman" w:hAnsi="Times New Roman" w:cs="Times New Roman"/>
                <w:bCs/>
                <w:szCs w:val="21"/>
              </w:rPr>
              <w:t>合计</w:t>
            </w:r>
          </w:p>
        </w:tc>
        <w:tc>
          <w:tcPr>
            <w:tcW w:w="1080" w:type="pct"/>
            <w:vAlign w:val="center"/>
          </w:tcPr>
          <w:p>
            <w:pPr>
              <w:jc w:val="center"/>
              <w:rPr>
                <w:rFonts w:ascii="Times New Roman" w:hAnsi="Times New Roman" w:cs="Times New Roman"/>
                <w:bCs/>
                <w:szCs w:val="21"/>
              </w:rPr>
            </w:pPr>
            <w:r>
              <w:rPr>
                <w:rFonts w:ascii="Times New Roman" w:hAnsi="Times New Roman" w:cs="Times New Roman"/>
                <w:bCs/>
                <w:szCs w:val="21"/>
              </w:rPr>
              <w:t>/</w:t>
            </w:r>
          </w:p>
        </w:tc>
        <w:tc>
          <w:tcPr>
            <w:tcW w:w="1486" w:type="pct"/>
            <w:vAlign w:val="center"/>
          </w:tcPr>
          <w:p>
            <w:pPr>
              <w:jc w:val="center"/>
              <w:rPr>
                <w:rFonts w:ascii="Times New Roman" w:hAnsi="Times New Roman" w:cs="Times New Roman"/>
                <w:bCs/>
                <w:szCs w:val="21"/>
              </w:rPr>
            </w:pPr>
          </w:p>
        </w:tc>
        <w:tc>
          <w:tcPr>
            <w:tcW w:w="874" w:type="pct"/>
            <w:vAlign w:val="center"/>
          </w:tcPr>
          <w:p>
            <w:pPr>
              <w:jc w:val="center"/>
              <w:rPr>
                <w:rFonts w:ascii="Times New Roman" w:hAnsi="Times New Roman" w:cs="Times New Roman"/>
                <w:bCs/>
                <w:szCs w:val="21"/>
              </w:rPr>
            </w:pPr>
            <w:r>
              <w:rPr>
                <w:rFonts w:ascii="Times New Roman" w:hAnsi="Times New Roman" w:cs="Times New Roman"/>
                <w:bCs/>
                <w:szCs w:val="21"/>
              </w:rPr>
              <w:t>30.4亿元</w:t>
            </w:r>
          </w:p>
        </w:tc>
      </w:tr>
    </w:tbl>
    <w:p>
      <w:pPr>
        <w:pStyle w:val="26"/>
        <w:snapToGrid w:val="0"/>
        <w:spacing w:after="0" w:line="360" w:lineRule="auto"/>
        <w:ind w:left="0" w:leftChars="0" w:firstLine="560" w:firstLineChars="200"/>
        <w:rPr>
          <w:rFonts w:eastAsia="宋体"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根据韶关市住房和城乡建设管理局和商务局提供的相关资料，韶关市目前各县（市、区）工业园区的规划用地面积和现有建材企业用地面积如下表4.3-6所示：</w:t>
      </w:r>
    </w:p>
    <w:p>
      <w:pPr>
        <w:pStyle w:val="26"/>
        <w:spacing w:before="156" w:beforeLines="50" w:after="156" w:afterLines="50" w:line="240" w:lineRule="auto"/>
        <w:ind w:left="0" w:leftChars="0"/>
        <w:jc w:val="center"/>
        <w:rPr>
          <w:rFonts w:cs="Times New Roman"/>
          <w:szCs w:val="21"/>
        </w:rPr>
      </w:pPr>
      <w:r>
        <w:rPr>
          <w:rFonts w:cs="Times New Roman"/>
          <w:szCs w:val="21"/>
        </w:rPr>
        <w:t>表4.3-6 各县（市、区）工业园区的规划用地面积和现有建材企业用地面积</w:t>
      </w:r>
    </w:p>
    <w:tbl>
      <w:tblPr>
        <w:tblStyle w:val="18"/>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73"/>
        <w:gridCol w:w="2896"/>
        <w:gridCol w:w="2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tblHeader/>
        </w:trPr>
        <w:tc>
          <w:tcPr>
            <w:tcW w:w="2673" w:type="dxa"/>
            <w:shd w:val="clear" w:color="auto" w:fill="auto"/>
            <w:vAlign w:val="center"/>
          </w:tcPr>
          <w:p>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地区</w:t>
            </w:r>
          </w:p>
        </w:tc>
        <w:tc>
          <w:tcPr>
            <w:tcW w:w="2896" w:type="dxa"/>
            <w:shd w:val="clear" w:color="auto" w:fill="auto"/>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工业园区规划用地面积（亩）</w:t>
            </w:r>
          </w:p>
        </w:tc>
        <w:tc>
          <w:tcPr>
            <w:tcW w:w="2959" w:type="dxa"/>
            <w:shd w:val="clear" w:color="auto" w:fill="auto"/>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现有建材企业用地面积（ 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浈江区</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21800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157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曲江区</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15000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184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武江区</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12900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乐昌市</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10512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1263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南雄市</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11040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338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仁化县</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10084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始兴县</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17700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682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翁源县</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18000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399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新丰县</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24095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2824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乳源瑶族自治县</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8243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787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韶关新区</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9600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195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韶关华南先进装备产业园</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65250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203 </w:t>
            </w:r>
          </w:p>
        </w:tc>
      </w:tr>
    </w:tbl>
    <w:p>
      <w:pPr>
        <w:pStyle w:val="26"/>
        <w:snapToGrid w:val="0"/>
        <w:spacing w:after="0" w:line="360" w:lineRule="auto"/>
        <w:ind w:left="0" w:leftChars="0" w:firstLine="560" w:firstLineChars="200"/>
        <w:rPr>
          <w:rFonts w:eastAsia="宋体"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在综合考虑了各县（市、区）现有发展基础和绿色建材产业未来发展策略后，给各区县市设定不同的绿色建材占全部建材的比例，预计韶关市各县（市、区）2025年绿色建材企业用地面积如下表4.3-7所示：</w:t>
      </w:r>
    </w:p>
    <w:p>
      <w:pPr>
        <w:pStyle w:val="26"/>
        <w:spacing w:before="156" w:beforeLines="50" w:after="156" w:afterLines="50" w:line="240" w:lineRule="auto"/>
        <w:ind w:left="0" w:leftChars="0"/>
        <w:jc w:val="center"/>
        <w:rPr>
          <w:rFonts w:cs="Times New Roman"/>
          <w:szCs w:val="21"/>
        </w:rPr>
      </w:pPr>
      <w:r>
        <w:rPr>
          <w:rFonts w:cs="Times New Roman"/>
          <w:szCs w:val="21"/>
        </w:rPr>
        <w:t>表4.3-7各县（市、区）工业园区的绿色建材企业用地面积预测</w:t>
      </w:r>
    </w:p>
    <w:tbl>
      <w:tblPr>
        <w:tblStyle w:val="18"/>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03"/>
        <w:gridCol w:w="4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blHeader/>
        </w:trPr>
        <w:tc>
          <w:tcPr>
            <w:tcW w:w="3703" w:type="dxa"/>
            <w:shd w:val="clear" w:color="auto" w:fill="auto"/>
            <w:vAlign w:val="center"/>
          </w:tcPr>
          <w:p>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地区</w:t>
            </w:r>
          </w:p>
        </w:tc>
        <w:tc>
          <w:tcPr>
            <w:tcW w:w="4825" w:type="dxa"/>
            <w:shd w:val="clear" w:color="auto" w:fill="auto"/>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2025年绿色建材企业用地面积（ 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浈江区</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52.9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曲江区</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62.0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武江区</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57.4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乐昌市</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426.4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南雄市</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114.2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仁化县</w:t>
            </w:r>
          </w:p>
        </w:tc>
        <w:tc>
          <w:tcPr>
            <w:tcW w:w="4825" w:type="dxa"/>
            <w:shd w:val="clear" w:color="auto" w:fill="auto"/>
            <w:noWrap/>
          </w:tcPr>
          <w:p>
            <w:pPr>
              <w:widowControl/>
              <w:jc w:val="center"/>
              <w:rPr>
                <w:rFonts w:ascii="Times New Roman" w:hAnsi="Times New Roman" w:eastAsia="宋体" w:cs="Times New Roman"/>
                <w:kern w:val="0"/>
                <w:sz w:val="22"/>
                <w:szCs w:val="22"/>
              </w:rPr>
            </w:pPr>
            <w:r>
              <w:t>88.5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始兴县</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230.1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翁源县</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134.9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新丰县</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953.4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乳源瑶族自治县</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265.7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韶关新区</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65.9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韶关华南先进装备产业园</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68.4 </w:t>
            </w:r>
          </w:p>
        </w:tc>
      </w:tr>
    </w:tbl>
    <w:p>
      <w:pPr>
        <w:pStyle w:val="26"/>
        <w:snapToGrid w:val="0"/>
        <w:spacing w:after="0" w:line="360" w:lineRule="auto"/>
        <w:ind w:left="0" w:leftChars="0" w:firstLine="560" w:firstLineChars="200"/>
        <w:rPr>
          <w:rFonts w:eastAsia="宋体"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 xml:space="preserve">表4.3-8为韶关市商务局提供的各县（市、区）工业园区工业土地用地标准，表4.3-9为市统计局提供的韶关市各县（市、区）建材企业技改投资额。 </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t>表4.3-8 各县（市、区）工业园区区用地标准</w:t>
      </w:r>
    </w:p>
    <w:tbl>
      <w:tblPr>
        <w:tblStyle w:val="18"/>
        <w:tblW w:w="8528" w:type="dxa"/>
        <w:jc w:val="center"/>
        <w:tblLayout w:type="fixed"/>
        <w:tblCellMar>
          <w:top w:w="0" w:type="dxa"/>
          <w:left w:w="108" w:type="dxa"/>
          <w:bottom w:w="0" w:type="dxa"/>
          <w:right w:w="108" w:type="dxa"/>
        </w:tblCellMar>
      </w:tblPr>
      <w:tblGrid>
        <w:gridCol w:w="2139"/>
        <w:gridCol w:w="2188"/>
        <w:gridCol w:w="2188"/>
        <w:gridCol w:w="2013"/>
      </w:tblGrid>
      <w:tr>
        <w:tblPrEx>
          <w:tblCellMar>
            <w:top w:w="0" w:type="dxa"/>
            <w:left w:w="108" w:type="dxa"/>
            <w:bottom w:w="0" w:type="dxa"/>
            <w:right w:w="108" w:type="dxa"/>
          </w:tblCellMar>
        </w:tblPrEx>
        <w:trPr>
          <w:trHeight w:val="397" w:hRule="atLeast"/>
          <w:tblHeader/>
          <w:jc w:val="center"/>
        </w:trPr>
        <w:tc>
          <w:tcPr>
            <w:tcW w:w="213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地区</w:t>
            </w:r>
          </w:p>
        </w:tc>
        <w:tc>
          <w:tcPr>
            <w:tcW w:w="2188"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最低价标准（元</w:t>
            </w:r>
            <w:r>
              <w:rPr>
                <w:rFonts w:ascii="Times New Roman" w:hAnsi="Times New Roman" w:eastAsia="等线" w:cs="Times New Roman"/>
                <w:kern w:val="0"/>
                <w:szCs w:val="21"/>
              </w:rPr>
              <w:t>/</w:t>
            </w:r>
            <w:r>
              <w:rPr>
                <w:rFonts w:ascii="Times New Roman" w:hAnsi="Times New Roman" w:eastAsia="宋体" w:cs="Times New Roman"/>
                <w:kern w:val="0"/>
                <w:szCs w:val="21"/>
              </w:rPr>
              <w:t>平方米）</w:t>
            </w:r>
          </w:p>
        </w:tc>
        <w:tc>
          <w:tcPr>
            <w:tcW w:w="2188"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土地投资强度（万元</w:t>
            </w:r>
            <w:r>
              <w:rPr>
                <w:rFonts w:ascii="Times New Roman" w:hAnsi="Times New Roman" w:eastAsia="等线" w:cs="Times New Roman"/>
                <w:kern w:val="0"/>
                <w:szCs w:val="21"/>
              </w:rPr>
              <w:t>/</w:t>
            </w:r>
            <w:r>
              <w:rPr>
                <w:rFonts w:ascii="Times New Roman" w:hAnsi="Times New Roman" w:eastAsia="宋体" w:cs="Times New Roman"/>
                <w:kern w:val="0"/>
                <w:szCs w:val="21"/>
              </w:rPr>
              <w:t>亩）</w:t>
            </w:r>
          </w:p>
        </w:tc>
        <w:tc>
          <w:tcPr>
            <w:tcW w:w="2013"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税收贡献度（万元</w:t>
            </w:r>
            <w:r>
              <w:rPr>
                <w:rFonts w:ascii="Times New Roman" w:hAnsi="Times New Roman" w:eastAsia="等线" w:cs="Times New Roman"/>
                <w:kern w:val="0"/>
                <w:szCs w:val="21"/>
              </w:rPr>
              <w:t>/</w:t>
            </w:r>
            <w:r>
              <w:rPr>
                <w:rFonts w:ascii="Times New Roman" w:hAnsi="Times New Roman" w:eastAsia="宋体" w:cs="Times New Roman"/>
                <w:kern w:val="0"/>
                <w:szCs w:val="21"/>
              </w:rPr>
              <w:t>亩）</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乐昌市</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207</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南雄市</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165</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150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仁化县</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180</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始兴县</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151</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120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翁源县</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192</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220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新丰县</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195</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150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乳源瑶族自治县</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195</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浈江区</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288</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武江区</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294</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180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曲江区</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252</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韶关新区</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294</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180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韶关华南先进装备产业园</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238</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15</w:t>
            </w:r>
          </w:p>
        </w:tc>
      </w:tr>
    </w:tbl>
    <w:p>
      <w:pPr>
        <w:pStyle w:val="26"/>
        <w:snapToGrid w:val="0"/>
        <w:spacing w:before="156" w:beforeLines="50" w:after="156" w:afterLines="50" w:line="240" w:lineRule="auto"/>
        <w:ind w:left="0" w:leftChars="0"/>
        <w:jc w:val="center"/>
        <w:rPr>
          <w:rFonts w:cs="Times New Roman"/>
          <w:szCs w:val="21"/>
        </w:rPr>
      </w:pPr>
      <w:r>
        <w:rPr>
          <w:rFonts w:cs="Times New Roman"/>
          <w:szCs w:val="21"/>
        </w:rPr>
        <w:t>表4.3-9韶关市建材企业技改投资额</w:t>
      </w:r>
    </w:p>
    <w:tbl>
      <w:tblPr>
        <w:tblStyle w:val="18"/>
        <w:tblW w:w="8528" w:type="dxa"/>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32"/>
        <w:gridCol w:w="6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blHeader/>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技改投资额（万元）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浈江区</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曲江区</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5495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武江区</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5684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乐昌市</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13644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南雄市</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仁化县</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14584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始兴县</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翁源县</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4514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新丰县</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9185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乳源瑶族自治县</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韶关市</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56557</w:t>
            </w:r>
          </w:p>
        </w:tc>
      </w:tr>
    </w:tbl>
    <w:p>
      <w:pPr>
        <w:pStyle w:val="26"/>
        <w:snapToGrid w:val="0"/>
        <w:spacing w:after="0" w:line="360" w:lineRule="auto"/>
        <w:ind w:left="0" w:leftChars="0" w:firstLine="560" w:firstLineChars="200"/>
        <w:rPr>
          <w:rFonts w:eastAsia="宋体"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参考土地投资强度值、绿色建材所需投入等，预期“十四五”期间韶关市各县（市、区）绿色建材产业投入如表4.3-10所示。其中乐昌市和新丰县由于预计未来在建材方面的发展较好，因此投资估算额较大。</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t>表4.3-10 绿色建材产业投资估算</w:t>
      </w:r>
    </w:p>
    <w:tbl>
      <w:tblPr>
        <w:tblStyle w:val="18"/>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6"/>
        <w:gridCol w:w="55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94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558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投资估算（亿元）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浈江区</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曲江区</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武江区</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乐昌市</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8.5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南雄市</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仁化县</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始兴县</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翁源县</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新丰县</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14.3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乳源瑶族自治县</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韶关新区</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韶关华南先进装备产业园</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韶关市</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43.2</w:t>
            </w:r>
          </w:p>
        </w:tc>
      </w:tr>
    </w:tbl>
    <w:p>
      <w:pPr>
        <w:pStyle w:val="2"/>
        <w:rPr>
          <w:rFonts w:hint="default" w:ascii="Times New Roman" w:hAnsi="Times New Roman" w:cs="Times New Roman"/>
        </w:rPr>
      </w:pP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4.3.4 建筑业与建材产业产出预期</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根据对“十三五”期间建筑业产值统计数据分析，按照发展趋势，预期2026年建筑业产值达到350亿元，比“十三五”期末增加100亿元。</w:t>
      </w:r>
    </w:p>
    <w:p>
      <w:pPr>
        <w:pStyle w:val="26"/>
        <w:snapToGrid w:val="0"/>
        <w:spacing w:before="156" w:beforeLines="50" w:after="156" w:afterLines="50" w:line="240" w:lineRule="auto"/>
        <w:ind w:left="0" w:leftChars="0"/>
        <w:jc w:val="center"/>
        <w:rPr>
          <w:rFonts w:cs="Times New Roman"/>
        </w:rPr>
      </w:pPr>
      <w:r>
        <w:rPr>
          <w:rFonts w:cs="Times New Roman"/>
        </w:rPr>
        <w:drawing>
          <wp:inline distT="0" distB="0" distL="114300" distR="114300">
            <wp:extent cx="4572000" cy="2743200"/>
            <wp:effectExtent l="4445" t="4445" r="14605" b="14605"/>
            <wp:docPr id="36"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pPr>
        <w:pStyle w:val="26"/>
        <w:snapToGrid w:val="0"/>
        <w:spacing w:before="156" w:beforeLines="50" w:after="156" w:afterLines="50" w:line="240" w:lineRule="auto"/>
        <w:ind w:left="0" w:leftChars="0"/>
        <w:jc w:val="center"/>
        <w:rPr>
          <w:rFonts w:cs="Times New Roman"/>
          <w:szCs w:val="21"/>
        </w:rPr>
      </w:pPr>
      <w:r>
        <w:rPr>
          <w:rFonts w:cs="Times New Roman"/>
          <w:szCs w:val="21"/>
        </w:rPr>
        <w:t>图4.3-12韶关建筑业产值（2016~2019）</w:t>
      </w:r>
    </w:p>
    <w:p>
      <w:pPr>
        <w:adjustRightInd w:val="0"/>
        <w:snapToGrid w:val="0"/>
        <w:spacing w:line="360" w:lineRule="auto"/>
        <w:ind w:firstLine="560" w:firstLineChars="200"/>
        <w:rPr>
          <w:rFonts w:ascii="Times New Roman" w:hAnsi="Times New Roman" w:cs="Times New Roman"/>
          <w:sz w:val="28"/>
          <w:szCs w:val="28"/>
        </w:rPr>
      </w:pP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根据韶关市统计局提供的数据，韶关市建材行业2017年~2021年增加值如下表4.3-11所示：</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t>表4.3-11韶关市建材行业2017年~2021年增加值（调整前）</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2"/>
        <w:gridCol w:w="1392"/>
        <w:gridCol w:w="1392"/>
        <w:gridCol w:w="1392"/>
        <w:gridCol w:w="1567"/>
        <w:gridCol w:w="13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vMerge w:val="restart"/>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地区</w:t>
            </w:r>
          </w:p>
        </w:tc>
        <w:tc>
          <w:tcPr>
            <w:tcW w:w="7136" w:type="dxa"/>
            <w:gridSpan w:val="5"/>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增加值（万元）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vMerge w:val="continue"/>
            <w:shd w:val="clear" w:color="auto" w:fill="auto"/>
            <w:noWrap/>
            <w:vAlign w:val="center"/>
          </w:tcPr>
          <w:p>
            <w:pPr>
              <w:widowControl/>
              <w:jc w:val="center"/>
              <w:rPr>
                <w:rFonts w:ascii="Times New Roman" w:hAnsi="Times New Roman" w:eastAsia="等线" w:cs="Times New Roman"/>
                <w:kern w:val="0"/>
                <w:sz w:val="22"/>
                <w:szCs w:val="22"/>
              </w:rPr>
            </w:pPr>
          </w:p>
        </w:tc>
        <w:tc>
          <w:tcPr>
            <w:tcW w:w="1392"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2017</w:t>
            </w:r>
          </w:p>
        </w:tc>
        <w:tc>
          <w:tcPr>
            <w:tcW w:w="1392"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2018</w:t>
            </w:r>
          </w:p>
        </w:tc>
        <w:tc>
          <w:tcPr>
            <w:tcW w:w="1392"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2019</w:t>
            </w:r>
          </w:p>
        </w:tc>
        <w:tc>
          <w:tcPr>
            <w:tcW w:w="1567"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2020</w:t>
            </w:r>
          </w:p>
        </w:tc>
        <w:tc>
          <w:tcPr>
            <w:tcW w:w="1393"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浈江区</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7191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10002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8310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245173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12808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曲江区</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28072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28179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20362 </w:t>
            </w:r>
          </w:p>
        </w:tc>
        <w:tc>
          <w:tcPr>
            <w:tcW w:w="1567" w:type="dxa"/>
            <w:shd w:val="clear" w:color="auto" w:fill="auto"/>
            <w:vAlign w:val="center"/>
          </w:tcPr>
          <w:p>
            <w:pPr>
              <w:widowControl/>
              <w:jc w:val="center"/>
              <w:rPr>
                <w:rFonts w:ascii="Times New Roman" w:hAnsi="Times New Roman" w:cs="Times New Roman"/>
              </w:rPr>
            </w:pPr>
            <w:r>
              <w:rPr>
                <w:rFonts w:ascii="Times New Roman" w:hAnsi="Times New Roman" w:cs="Times New Roman"/>
              </w:rPr>
              <w:t xml:space="preserve">870454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18914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武江区</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17198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22818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37310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134081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39965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仁化县</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17154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19684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20505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207426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19581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始兴县</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15118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16170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15971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944434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11428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南雄市</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22021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23316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25477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301995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45268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乐昌市</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17742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29812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36383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139875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47319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翁源县</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22841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42275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43789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113234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54297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新丰县</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52897</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43873</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74027</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129983</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86720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乳源瑶族自治县</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52458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13053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20398 </w:t>
            </w:r>
          </w:p>
        </w:tc>
        <w:tc>
          <w:tcPr>
            <w:tcW w:w="1567" w:type="dxa"/>
            <w:shd w:val="clear" w:color="auto" w:fill="auto"/>
            <w:vAlign w:val="center"/>
          </w:tcPr>
          <w:p>
            <w:pPr>
              <w:widowControl/>
              <w:jc w:val="center"/>
              <w:rPr>
                <w:rFonts w:ascii="Times New Roman" w:hAnsi="Times New Roman" w:cs="Times New Roman"/>
              </w:rPr>
            </w:pPr>
            <w:r>
              <w:rPr>
                <w:rFonts w:ascii="Times New Roman" w:hAnsi="Times New Roman" w:cs="Times New Roman"/>
              </w:rPr>
              <w:t xml:space="preserve">159210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19510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韶关市</w:t>
            </w:r>
          </w:p>
        </w:tc>
        <w:tc>
          <w:tcPr>
            <w:tcW w:w="1392"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252692</w:t>
            </w:r>
          </w:p>
        </w:tc>
        <w:tc>
          <w:tcPr>
            <w:tcW w:w="1392"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249183</w:t>
            </w:r>
          </w:p>
        </w:tc>
        <w:tc>
          <w:tcPr>
            <w:tcW w:w="1392"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302531</w:t>
            </w:r>
          </w:p>
        </w:tc>
        <w:tc>
          <w:tcPr>
            <w:tcW w:w="1567"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3245864</w:t>
            </w:r>
          </w:p>
        </w:tc>
        <w:tc>
          <w:tcPr>
            <w:tcW w:w="1393"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355811</w:t>
            </w:r>
          </w:p>
        </w:tc>
      </w:tr>
    </w:tbl>
    <w:p>
      <w:pPr>
        <w:adjustRightInd w:val="0"/>
        <w:snapToGrid w:val="0"/>
        <w:spacing w:line="360" w:lineRule="auto"/>
        <w:rPr>
          <w:rFonts w:ascii="Times New Roman" w:hAnsi="Times New Roman"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可以明显看出，2020年数据存在异常偏大的情况，因此将2020年数据替换为2019年与2021年的平均值，替换后的增加值及逐年趋势如下表4.3-12及图所示：</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t>表4.3-12韶关市建材行业2017年~2021年增加值（调整后）</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1"/>
        <w:gridCol w:w="1421"/>
        <w:gridCol w:w="1421"/>
        <w:gridCol w:w="1421"/>
        <w:gridCol w:w="14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vMerge w:val="restart"/>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地区</w:t>
            </w:r>
          </w:p>
        </w:tc>
        <w:tc>
          <w:tcPr>
            <w:tcW w:w="7108" w:type="dxa"/>
            <w:gridSpan w:val="5"/>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增加值（万元）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vMerge w:val="continue"/>
            <w:shd w:val="clear" w:color="auto" w:fill="auto"/>
            <w:noWrap/>
            <w:vAlign w:val="center"/>
          </w:tcPr>
          <w:p>
            <w:pPr>
              <w:widowControl/>
              <w:jc w:val="center"/>
              <w:rPr>
                <w:rFonts w:ascii="Times New Roman" w:hAnsi="Times New Roman" w:eastAsia="等线" w:cs="Times New Roman"/>
                <w:kern w:val="0"/>
                <w:sz w:val="22"/>
                <w:szCs w:val="22"/>
              </w:rPr>
            </w:pP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2017</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2018</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2019</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2020</w:t>
            </w:r>
          </w:p>
        </w:tc>
        <w:tc>
          <w:tcPr>
            <w:tcW w:w="1424"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浈江区</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7191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10002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8310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10559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12808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曲江区</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28072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28179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20362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19638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18914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武江区</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17198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22818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37310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38638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39965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仁化县</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17154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19684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20505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20043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19581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始兴县</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15118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16170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15971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13700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11428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南雄市</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22021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23316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25477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35372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45268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乐昌市</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17742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29812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36383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41851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47319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翁源县</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22841</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42275</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43789</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49043</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54297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新丰县</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52897</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43873</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74027</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80373</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86720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乳源瑶族自治县</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52458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13053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20398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19954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19510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韶关市</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252692</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249183</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302531</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329171</w:t>
            </w:r>
          </w:p>
        </w:tc>
        <w:tc>
          <w:tcPr>
            <w:tcW w:w="1424"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355811</w:t>
            </w:r>
          </w:p>
        </w:tc>
      </w:tr>
    </w:tbl>
    <w:p>
      <w:pPr>
        <w:pStyle w:val="26"/>
        <w:snapToGrid w:val="0"/>
        <w:spacing w:before="156" w:beforeLines="50" w:after="156" w:afterLines="50" w:line="240" w:lineRule="auto"/>
        <w:ind w:left="0" w:leftChars="0"/>
        <w:jc w:val="center"/>
        <w:rPr>
          <w:rFonts w:cs="Times New Roman"/>
          <w:szCs w:val="21"/>
        </w:rPr>
      </w:pPr>
    </w:p>
    <w:p>
      <w:pPr>
        <w:pStyle w:val="26"/>
        <w:snapToGrid w:val="0"/>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53990" cy="348234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270921" cy="3493165"/>
                    </a:xfrm>
                    <a:prstGeom prst="rect">
                      <a:avLst/>
                    </a:prstGeom>
                    <a:noFill/>
                  </pic:spPr>
                </pic:pic>
              </a:graphicData>
            </a:graphic>
          </wp:inline>
        </w:drawing>
      </w:r>
    </w:p>
    <w:p>
      <w:pPr>
        <w:pStyle w:val="26"/>
        <w:snapToGrid w:val="0"/>
        <w:spacing w:before="156" w:beforeLines="50" w:after="156" w:afterLines="50" w:line="240" w:lineRule="auto"/>
        <w:ind w:left="0" w:leftChars="0"/>
        <w:jc w:val="center"/>
        <w:rPr>
          <w:rFonts w:cs="Times New Roman"/>
          <w:szCs w:val="21"/>
        </w:rPr>
      </w:pPr>
      <w:r>
        <w:rPr>
          <w:rFonts w:cs="Times New Roman"/>
          <w:szCs w:val="21"/>
        </w:rPr>
        <w:t>图4.3-11韶关市建材行业2017年~2021年增加值变化折线图</w:t>
      </w:r>
    </w:p>
    <w:p>
      <w:pPr>
        <w:pStyle w:val="26"/>
        <w:snapToGrid w:val="0"/>
        <w:spacing w:before="156" w:beforeLines="50" w:after="156" w:afterLines="50" w:line="240" w:lineRule="auto"/>
        <w:ind w:left="0" w:leftChars="0"/>
        <w:jc w:val="center"/>
        <w:rPr>
          <w:rFonts w:cs="Times New Roman"/>
          <w:szCs w:val="21"/>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根据韶关市统计局提供的建材产业增加值数据，结合韶关市提出的“十四五”期间相关目标等，2025年韶关市建材产业增加值预期可达47亿元以上。</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40655" cy="315023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245883" cy="3153342"/>
                    </a:xfrm>
                    <a:prstGeom prst="rect">
                      <a:avLst/>
                    </a:prstGeom>
                    <a:noFill/>
                  </pic:spPr>
                </pic:pic>
              </a:graphicData>
            </a:graphic>
          </wp:inline>
        </w:drawing>
      </w:r>
    </w:p>
    <w:p>
      <w:pPr>
        <w:pStyle w:val="26"/>
        <w:snapToGrid w:val="0"/>
        <w:spacing w:before="156" w:beforeLines="50" w:after="156" w:afterLines="50" w:line="240" w:lineRule="auto"/>
        <w:ind w:left="0" w:leftChars="0"/>
        <w:jc w:val="center"/>
        <w:rPr>
          <w:rFonts w:cs="Times New Roman"/>
          <w:szCs w:val="21"/>
        </w:rPr>
      </w:pPr>
      <w:r>
        <w:rPr>
          <w:rFonts w:cs="Times New Roman"/>
          <w:szCs w:val="21"/>
        </w:rPr>
        <w:t>图4.3-12  韶关市建材行业2017年~2025年增加值柱状图</w:t>
      </w:r>
    </w:p>
    <w:p>
      <w:pPr>
        <w:pStyle w:val="26"/>
        <w:snapToGrid w:val="0"/>
        <w:spacing w:after="0" w:line="360" w:lineRule="auto"/>
        <w:ind w:left="0" w:leftChars="0" w:firstLine="560" w:firstLineChars="200"/>
        <w:rPr>
          <w:rFonts w:eastAsia="宋体"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hint="eastAsia" w:eastAsia="宋体" w:cs="Times New Roman"/>
          <w:sz w:val="28"/>
          <w:szCs w:val="28"/>
        </w:rPr>
        <w:t>由上述</w:t>
      </w:r>
      <w:r>
        <w:rPr>
          <w:rFonts w:eastAsia="宋体" w:cs="Times New Roman"/>
          <w:sz w:val="28"/>
          <w:szCs w:val="28"/>
        </w:rPr>
        <w:t>分析可知各县（市、区）的建材发展方向、发展潜力和绿色建材在建材产业中的占比均有所不同，在综合考虑了各县（市、区）现有发展基础和未来发展策略后， 2022~2025年韶关市绿色建材增加值预测如下表4.3-13所示。</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t>表4.3-13韶关市2022~2025年建材产业增加值预测</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4"/>
        <w:gridCol w:w="1586"/>
        <w:gridCol w:w="1586"/>
        <w:gridCol w:w="1586"/>
        <w:gridCol w:w="1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2184" w:type="dxa"/>
            <w:shd w:val="clear" w:color="auto" w:fill="auto"/>
            <w:noWrap/>
            <w:vAlign w:val="center"/>
          </w:tcPr>
          <w:p>
            <w:pPr>
              <w:widowControl/>
              <w:jc w:val="center"/>
              <w:rPr>
                <w:rFonts w:ascii="Times New Roman" w:hAnsi="Times New Roman" w:eastAsia="Times New Roman" w:cs="Times New Roman"/>
                <w:kern w:val="0"/>
                <w:szCs w:val="21"/>
              </w:rPr>
            </w:pP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2022</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2023</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2024</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4"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绿色建材产业增加值（单位：亿元）</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cs="Times New Roman"/>
                <w:szCs w:val="21"/>
              </w:rPr>
              <w:t xml:space="preserve">12.3 </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cs="Times New Roman"/>
                <w:szCs w:val="21"/>
              </w:rPr>
              <w:t xml:space="preserve">14.0 </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cs="Times New Roman"/>
                <w:szCs w:val="21"/>
              </w:rPr>
              <w:t xml:space="preserve">15.9 </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cs="Times New Roman"/>
                <w:szCs w:val="21"/>
              </w:rPr>
              <w:t xml:space="preserve">17.8 </w:t>
            </w:r>
          </w:p>
        </w:tc>
      </w:tr>
    </w:tbl>
    <w:p>
      <w:pPr>
        <w:pStyle w:val="2"/>
        <w:rPr>
          <w:rFonts w:hint="default"/>
        </w:rPr>
      </w:pP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4.3.5 发展策略</w:t>
      </w:r>
    </w:p>
    <w:p>
      <w:pPr>
        <w:pStyle w:val="26"/>
        <w:snapToGrid w:val="0"/>
        <w:spacing w:after="0" w:line="360" w:lineRule="auto"/>
        <w:ind w:left="0" w:leftChars="0" w:firstLine="560" w:firstLineChars="200"/>
        <w:rPr>
          <w:rFonts w:eastAsia="宋体" w:cs="Times New Roman"/>
          <w:sz w:val="28"/>
          <w:szCs w:val="28"/>
        </w:rPr>
      </w:pPr>
      <w:bookmarkStart w:id="94" w:name="_Hlk107240085"/>
      <w:bookmarkStart w:id="95" w:name="_Hlk106116676"/>
      <w:r>
        <w:rPr>
          <w:rFonts w:eastAsia="宋体" w:cs="Times New Roman"/>
          <w:sz w:val="28"/>
          <w:szCs w:val="28"/>
        </w:rPr>
        <w:t>突显韶关市在水泥熟料、建筑用钢、有色金属等领域的优势</w:t>
      </w:r>
      <w:r>
        <w:rPr>
          <w:rFonts w:hint="eastAsia" w:eastAsia="宋体" w:cs="Times New Roman"/>
          <w:sz w:val="28"/>
          <w:szCs w:val="28"/>
        </w:rPr>
        <w:t>，发挥韶关市的矿产资源禀赋优势，把资源优势转化为产业优势</w:t>
      </w:r>
      <w:r>
        <w:rPr>
          <w:rFonts w:eastAsia="宋体" w:cs="Times New Roman"/>
          <w:sz w:val="28"/>
          <w:szCs w:val="28"/>
        </w:rPr>
        <w:t>。</w:t>
      </w:r>
      <w:r>
        <w:rPr>
          <w:rFonts w:hint="eastAsia" w:eastAsia="宋体" w:cs="Times New Roman"/>
          <w:sz w:val="28"/>
          <w:szCs w:val="28"/>
        </w:rPr>
        <w:t>以绿色建材需求为导向，引导韶关市矿产资源产业的重点发展区域开发铁矿、石英矿、石灰岩等矿产，</w:t>
      </w:r>
      <w:r>
        <w:rPr>
          <w:rFonts w:eastAsia="宋体" w:cs="Times New Roman"/>
          <w:sz w:val="28"/>
          <w:szCs w:val="28"/>
        </w:rPr>
        <w:t>打造装配式建筑材料为重点、绿色建材为特色的粤北地区新型建材生产中心</w:t>
      </w:r>
      <w:bookmarkEnd w:id="94"/>
      <w:r>
        <w:rPr>
          <w:rFonts w:eastAsia="宋体" w:cs="Times New Roman"/>
          <w:sz w:val="28"/>
          <w:szCs w:val="28"/>
        </w:rPr>
        <w:t>。对建材行业开展高起点技术改造和结构调整，扩大新型、绿色建材生产和应用。鼓励我市大型预拌混凝土、预拌砂浆生产企业及传统建材企业向预制构件和住宅部品部件生产企业转型。配套建材环聚，带动建筑板材、管材、合金门窗、幕墙、建筑陶瓷等配套环节集聚。</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1、乐昌市</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一是引导现有中建材、三益水泥、东锆等建材企业做强做优和转型升级，支持水泥、混凝土、环保砖等行业重点企业实施技术改造和产品升级，鼓励支持企业加强设计研发、工艺改良、性能提升和品牌建设，重点发展高质量建筑材料，延伸上下游产业链，推动行业提质增效。二是围绕龙督、恒胜等建筑及环保材料生产企业，发挥乐昌市</w:t>
      </w:r>
      <w:r>
        <w:rPr>
          <w:rFonts w:hint="eastAsia" w:ascii="Times New Roman" w:hAnsi="Times New Roman" w:eastAsia="宋体" w:cs="Times New Roman"/>
          <w:sz w:val="28"/>
          <w:szCs w:val="28"/>
        </w:rPr>
        <w:t>石英矿和石灰岩等非金属矿产和</w:t>
      </w:r>
      <w:r>
        <w:rPr>
          <w:rFonts w:ascii="Times New Roman" w:hAnsi="Times New Roman" w:eastAsia="宋体" w:cs="Times New Roman"/>
          <w:sz w:val="28"/>
          <w:szCs w:val="28"/>
        </w:rPr>
        <w:t>木材资源优势，发展墙面材料、地面材料、绝热材料、装饰装修材料为主的新型建筑材料，推动现有装饰装修材料企业扩大产能，加快培育装饰装修材料龙头企业，重点发展保温、防水、防潮、隔热、隔声、绿色环保的新型建筑材料，积极引进珠三角等地防水材料和装配式建筑构件企业，着力打造新材料特色产业园。</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2、南雄市</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充分发挥南雄产业园一期涂料企业集聚优势，重点发展高端环保涂料，提高产品质量，加强进口替代。加快发展水性多彩环保建筑涂料，丰富硅丙、氟硅、含氟等高性能建筑外墙涂料品类，推进建筑外墙涂料的升级换代。大力发展环保型涂料，控制含有毒有害溶剂和含铅等重金属涂料的生产，提升环保型涂料的比重。以低污染、多品类、高附加值为方向，推进涂料企业“油改水”技术改造，引导现有油性涂料企业向水性涂料转型。以南雄丰富的竹资源为产业招商基础优势，依托国家储备林项目资源优势，适度发展竹质建材等产业。</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3、仁化县</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仁化县域自然分布着丰富的金属矿产资源和竹类资源。依托丰富的金属矿产资源，采用先进环保的技术实现铜、铝废金属的再生，并加工成铝型材等建筑材料。发挥仁化县</w:t>
      </w:r>
      <w:bookmarkStart w:id="96" w:name="_Hlk109141721"/>
      <w:r>
        <w:rPr>
          <w:rFonts w:ascii="Times New Roman" w:hAnsi="Times New Roman" w:eastAsia="宋体" w:cs="Times New Roman"/>
          <w:sz w:val="28"/>
          <w:szCs w:val="28"/>
        </w:rPr>
        <w:t>丰富竹木资源优势</w:t>
      </w:r>
      <w:bookmarkEnd w:id="96"/>
      <w:r>
        <w:rPr>
          <w:rFonts w:ascii="Times New Roman" w:hAnsi="Times New Roman" w:eastAsia="宋体" w:cs="Times New Roman"/>
          <w:sz w:val="28"/>
          <w:szCs w:val="28"/>
        </w:rPr>
        <w:t>和已形成一定规模的竹子生产基地和加工销售体系，以广东省竹材深加工基地为目标，适度引进竹制建材、竹制家具等企业，培育引进竹活性炭、竹纤维材料等新型竹加工业，大力推动竹胶合板、生态板、竹地板等竹制建材发展。</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4、翁源县</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作为重点发展精细化工、新能源电池及材料两大产业区，依托翁源</w:t>
      </w:r>
      <w:bookmarkStart w:id="97" w:name="_Hlk109141907"/>
      <w:r>
        <w:rPr>
          <w:rFonts w:ascii="Times New Roman" w:hAnsi="Times New Roman" w:eastAsia="宋体" w:cs="Times New Roman"/>
          <w:sz w:val="28"/>
          <w:szCs w:val="28"/>
        </w:rPr>
        <w:t>华彩新材料工业园</w:t>
      </w:r>
      <w:bookmarkEnd w:id="97"/>
      <w:r>
        <w:rPr>
          <w:rFonts w:ascii="Times New Roman" w:hAnsi="Times New Roman" w:eastAsia="宋体" w:cs="Times New Roman"/>
          <w:sz w:val="28"/>
          <w:szCs w:val="28"/>
        </w:rPr>
        <w:t>大力发展高端环保涂料，推进涂料企业“油改水”技术改造，重点发展新型建筑涂料及配套树脂原料，高固含量涂料、水性涂料、粉末涂料和辐射固化涂料等绿色涂料，以及丙烯酸树脂漆、聚酯树脂漆、环氧树脂漆、聚氨酯漆、有机硅树脂漆等低毒化、助剂高效化的高性能涂料，推进华彩新材料工业园建设绿色环保新型涂料生产基地，打造华南环保新型涂料品牌园区，加快承接湾区产业转移。</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5、新丰县</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依托融湾新丰产业园建材产业基础，重点发展新型建筑材料，快推进传统建材产业向新型建材产业转型升级，夯实新丰新型建材产业集群的规模化、多元化基础，打造粤北地区技术装备先进、经济效益突出、产业链条完善的新型建材基地。一是</w:t>
      </w:r>
      <w:r>
        <w:rPr>
          <w:rFonts w:hint="eastAsia" w:ascii="Times New Roman" w:hAnsi="Times New Roman" w:eastAsia="宋体" w:cs="Times New Roman"/>
          <w:sz w:val="28"/>
          <w:szCs w:val="28"/>
        </w:rPr>
        <w:t>加强鸿丰旗石岗水泥用石灰岩矿的资源勘查开发，紧密围绕循环经济和发展新材料产业的新需求，</w:t>
      </w:r>
      <w:r>
        <w:rPr>
          <w:rFonts w:ascii="Times New Roman" w:hAnsi="Times New Roman" w:eastAsia="宋体" w:cs="Times New Roman"/>
          <w:sz w:val="28"/>
          <w:szCs w:val="28"/>
        </w:rPr>
        <w:t>依托鸿丰水泥、金丰达等原材料企业，大力实施传统建材产业技术改造和产品升级；二是</w:t>
      </w:r>
      <w:r>
        <w:rPr>
          <w:rFonts w:hint="eastAsia" w:ascii="Times New Roman" w:hAnsi="Times New Roman" w:eastAsia="宋体" w:cs="Times New Roman"/>
          <w:sz w:val="28"/>
          <w:szCs w:val="28"/>
        </w:rPr>
        <w:t>把</w:t>
      </w:r>
      <w:r>
        <w:rPr>
          <w:rFonts w:ascii="Times New Roman" w:hAnsi="Times New Roman" w:eastAsia="宋体" w:cs="Times New Roman"/>
          <w:sz w:val="28"/>
          <w:szCs w:val="28"/>
        </w:rPr>
        <w:t>握国家及广东省大力推广装配式建筑的政策机遇及石灰石资源优势，积极发展混凝土装配式建筑预制构件，配套发展钢结构装配式构件，打造集“装配式建筑主体构件+新型建筑材料”的一体化新型建材基地。三是以绿色建筑、建筑节能和装配式建筑需要为导向，择机发展适用于装配式建筑的节能门窗、绿色墙体等部品化建材，突破发展用于节能防火、环保治理非金属矿物功能材料，择机发展水泥、预拌砂浆等建筑原材料。四是加快推进中色南方稀土（新丰）有限公司年产 7000 吨稀土分离项目投产，延伸稀土产业链条，提高产品附加值为方向，积极引进国内稀土资源深加工及新材料应用开发企业。</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6、武江区</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围绕上海电气智能化PC 装备生产基地，吸引上下游关联产业和配套产业落地韶关高新区，引入一批预制装配式混凝土结构、钢结构、现代木结构建筑生产企业，完善混凝土预制件（PC）生产、模具生产、门窗生产功能，专攻住宅构件和市政构件产品，建立装配式建筑技术研发中心及配套实验室。利用现有建材企业基础，积极引进建筑板材、管材、合金门窗、幕墙等企业。</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7、曲江区</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作为重点发展建筑金属材料深加工业，依托北江航道扩容及乌石港建设，以配套大湾区建筑等行业需求为重点，围绕韶关市宏德热轧带钢有限公司重点发展热轧钢带、冷轧带钢等带钢制品，延伸发展轮圈、卡箍、垫圈、弹簧片、锯条、餐具、五金制品等建筑金属材料加工。以华南装备园现有钢结构构件生产企业为基础，继续发展钢结构构件相关产业，并发展电梯、智能爬升架、自动停车场等智能化建筑设备。</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8、始兴县</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鼓励现有预拌混凝土、预拌砂浆生产企业及传统建材企业提高绿色化、数智化水平，引导相关企业在有条件时向预制构件和住宅部品部件生产企业转型。深度开发利用始兴“北山竹、南山木”资源，大力推进竹产业循环经济园建设，适度发展木质板材、竹加工建材产业。</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9、浈江区</w:t>
      </w:r>
    </w:p>
    <w:p>
      <w:pPr>
        <w:adjustRightInd w:val="0"/>
        <w:snapToGrid w:val="0"/>
        <w:spacing w:line="360" w:lineRule="auto"/>
        <w:ind w:firstLine="560" w:firstLineChars="200"/>
        <w:rPr>
          <w:rFonts w:ascii="Times New Roman" w:hAnsi="Times New Roman" w:eastAsia="宋体" w:cs="Times New Roman"/>
          <w:sz w:val="28"/>
          <w:szCs w:val="28"/>
        </w:rPr>
      </w:pPr>
      <w:bookmarkStart w:id="98" w:name="_Hlk109813974"/>
      <w:r>
        <w:rPr>
          <w:rFonts w:ascii="Times New Roman" w:hAnsi="Times New Roman" w:eastAsia="宋体" w:cs="Times New Roman"/>
          <w:sz w:val="28"/>
          <w:szCs w:val="28"/>
        </w:rPr>
        <w:t>受浈江区自身工业发展重点方向和地理条件等因素限制</w:t>
      </w:r>
      <w:bookmarkEnd w:id="98"/>
      <w:r>
        <w:rPr>
          <w:rFonts w:ascii="Times New Roman" w:hAnsi="Times New Roman" w:eastAsia="宋体" w:cs="Times New Roman"/>
          <w:sz w:val="28"/>
          <w:szCs w:val="28"/>
        </w:rPr>
        <w:t>，浈江区</w:t>
      </w:r>
      <w:bookmarkStart w:id="99" w:name="_Hlk109814140"/>
      <w:r>
        <w:rPr>
          <w:rFonts w:ascii="Times New Roman" w:hAnsi="Times New Roman" w:eastAsia="宋体" w:cs="Times New Roman"/>
          <w:sz w:val="28"/>
          <w:szCs w:val="28"/>
        </w:rPr>
        <w:t>下一步以鼓励现有预拌混凝土、预拌砂浆生产企业及传统建材企业提高绿色生产水平为主，引导相关企业在有条件时向预制构件和住宅部品部件生产企业转型，适度发展木业家具。</w:t>
      </w:r>
    </w:p>
    <w:bookmarkEnd w:id="99"/>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10、</w:t>
      </w:r>
      <w:bookmarkStart w:id="100" w:name="_Hlk109813985"/>
      <w:r>
        <w:rPr>
          <w:rFonts w:ascii="Times New Roman" w:hAnsi="Times New Roman" w:eastAsia="宋体" w:cs="Times New Roman"/>
          <w:b/>
          <w:bCs/>
          <w:sz w:val="28"/>
          <w:szCs w:val="28"/>
        </w:rPr>
        <w:t>乳源瑶族自治县</w:t>
      </w:r>
      <w:bookmarkEnd w:id="100"/>
    </w:p>
    <w:p>
      <w:pPr>
        <w:adjustRightInd w:val="0"/>
        <w:snapToGrid w:val="0"/>
        <w:spacing w:line="360" w:lineRule="auto"/>
        <w:ind w:firstLine="560" w:firstLineChars="200"/>
        <w:rPr>
          <w:rFonts w:ascii="Times New Roman" w:hAnsi="Times New Roman" w:cs="Times New Roman"/>
        </w:rPr>
      </w:pPr>
      <w:r>
        <w:rPr>
          <w:rFonts w:ascii="Times New Roman" w:hAnsi="Times New Roman" w:eastAsia="宋体" w:cs="Times New Roman"/>
          <w:sz w:val="28"/>
          <w:szCs w:val="28"/>
        </w:rPr>
        <w:t>受乳源瑶族自治县自身工业发展方向等因素限制，</w:t>
      </w:r>
      <w:bookmarkStart w:id="101" w:name="_Hlk105598587"/>
      <w:r>
        <w:rPr>
          <w:rFonts w:ascii="Times New Roman" w:hAnsi="Times New Roman" w:eastAsia="宋体" w:cs="Times New Roman"/>
          <w:sz w:val="28"/>
          <w:szCs w:val="28"/>
        </w:rPr>
        <w:t>下一步以鼓励现有预拌混凝土、预拌砂浆生产企业及传统建材企业提高绿色生产水平为主，引导相关企业在有条件时向预制构件和住宅部品部件生产企业转型。</w:t>
      </w:r>
      <w:bookmarkEnd w:id="101"/>
      <w:r>
        <w:rPr>
          <w:rFonts w:ascii="Times New Roman" w:hAnsi="Times New Roman" w:eastAsia="宋体" w:cs="Times New Roman"/>
          <w:sz w:val="28"/>
          <w:szCs w:val="28"/>
        </w:rPr>
        <w:t>结合其他产业配套需求，承接发展铝合金光伏、铝合金建筑模板等铝合金材料。</w:t>
      </w:r>
      <w:bookmarkEnd w:id="95"/>
    </w:p>
    <w:p>
      <w:pPr>
        <w:spacing w:after="156" w:afterLines="50"/>
        <w:outlineLvl w:val="1"/>
        <w:rPr>
          <w:rFonts w:ascii="Times New Roman" w:hAnsi="Times New Roman" w:eastAsia="楷体" w:cs="Times New Roman"/>
          <w:b/>
          <w:bCs/>
          <w:sz w:val="32"/>
          <w:szCs w:val="32"/>
        </w:rPr>
      </w:pPr>
      <w:bookmarkStart w:id="102" w:name="_Toc116399604"/>
      <w:r>
        <w:rPr>
          <w:rFonts w:ascii="Times New Roman" w:hAnsi="Times New Roman" w:eastAsia="楷体" w:cs="Times New Roman"/>
          <w:b/>
          <w:bCs/>
          <w:sz w:val="32"/>
          <w:szCs w:val="32"/>
        </w:rPr>
        <w:t>4.4 绿色建材产业发展重点任务</w:t>
      </w:r>
      <w:bookmarkEnd w:id="102"/>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4.4.1 推进新型建筑工业化，拉动传统建筑建材产业转型</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1、推动高性能混凝土应用</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现代建筑功能不断扩大，建筑的高度也越来越高，对混凝土性能的要求也越来越高，传统混凝土自重大、抗拉强度低等缺点，已经逐渐不适用于高质量的绿色建筑。</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高性能混凝土具有“易于浇注捣实而不离析、力学性能好、韧性好、体积稳定性好、早期强度高和匀质性好”的特性，在恶劣的条件下它的使用寿命和时间比较长。</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高性能混凝土是在现代高强混凝土的基础上发展起来的，使用新型的高效减水剂和矿物掺和料，是使混凝土达到高性能的主要技术措施，高效减水剂能降低混凝土的水胶比，增大坍落度，控制坍落度损失，提高混凝土的密实性和工作性；而矿物掺和料能填充胶凝材料的孔隙，参与胶凝材料的水化，除提高混凝土的密实度外，还改善混凝土的界面结构，提高混凝土的强度和耐久性。</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混凝土的强度的提升可以帮助建筑物的强度增加，增加建筑物的质量，高效的混凝土就是通过增加水泥等原料的科技含量提高混凝土的整体强度﹐这样可以减少建筑物使用混凝土的用量,从而减低建筑物本身的重量,增加建筑物的空间，这样的结果最终就是减少建筑成本。</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高性能混凝土的发展，可以带动其基础材料技术革新，作为混凝土中的主要原材料—水泥，其实是一种需要消耗大量资源、能源的建材，因此，后续的使用或将会受到限制，因此，高性能混凝土的应用，可以限制水泥用量同时也获得不低于传统混凝土性能的新型产品。</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高性能混凝土的发展方向是绿色混凝土，其有着节约资源、能源，不破坏环境，可持续发展等特点，即可满足当代发展需求，有不危害后代人满足其需要的能力。</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因此，相关企业需要更新传统的混凝土设计方法，研究和制定高性能混凝土的设计规程、质量控制方法、验收标准、施工工艺等，保证高性能混凝土的质量。</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主管部门应制定相关法律、政策，以保护和鼓励企业更新技术、开发产品，鼓励开发商积极应用新产品。</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2、推动装配式建筑应用</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在2015年年底召开的全国住房城乡建设工作会议上，住房城乡建设部部长陈政高提出：2016年，要推动装配式建筑取得突破性进展。在充分调研的基础上，制定出行动计划，在全国全面推广装配式建筑。</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装配式建筑对于改变建筑业现状、促进建筑业可持续发展具有重大意义：有利于提升建筑业技术水平和管理水平；有利于提高工程建设效率；有利于在建筑产品的建造和使用过程中降低资源和能源消耗，减少环境污染，实现经济、社会和环境效益的可持续发展；有利于改善建筑工程质量和安全问题；有利于提高建筑产品的品质；有利于提高从业人员的素质和改善工作条件，解决建筑市场劳动力短缺的问题；有利于推进工程建设管理体制改革。</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目前，全国各地也在如火如荼地推进装配式建筑产业化，各省市也陆续出台指导意见，如《广东省人民政府办公厅关于大力发展装配式建筑的实施意见》、广州市政府办公厅印发《关于大力发展装配式建筑加快推进建筑产业现代化的实施意见》，东莞市住建局发布《关于明确我市装配式建筑实施范围和相关工作要求的通知（征求意见稿）》。</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市也在2019年发布《韶关市人民政府办公室关于大力发展装配式建筑的实施意见》，按《实施意见》编制专项规划，明确时间节点，分解工作任务，打造生产基地，引进合作企业，健全监管体系，保障扶持政策。</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3、推动高性能玻璃应用</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最新版《绿色建筑评价标准》GB/T 50378-2019已在2019年发布实施，新标准中，对于绿色建筑性能要求有所提</w:t>
      </w:r>
      <w:r>
        <w:rPr>
          <w:rFonts w:hint="eastAsia" w:ascii="Times New Roman" w:hAnsi="Times New Roman" w:eastAsia="宋体" w:cs="Times New Roman"/>
          <w:sz w:val="28"/>
          <w:szCs w:val="28"/>
        </w:rPr>
        <w:t>高</w:t>
      </w:r>
      <w:r>
        <w:rPr>
          <w:rFonts w:ascii="Times New Roman" w:hAnsi="Times New Roman" w:eastAsia="宋体" w:cs="Times New Roman"/>
          <w:sz w:val="28"/>
          <w:szCs w:val="28"/>
        </w:rPr>
        <w:t>，其中对于星级绿色建筑提出了技术要求，围护结构热工性能提高或建筑供暖负荷降低，二者都跟围护结构相关，也相应地对窗、幕墙提出了要求。</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玻璃性能参数中的遮阳系数、传热系数影响着建筑围护结构的热工参数，因此，提高玻璃光学参数，有助于提高围护结构热工性能。</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节能玻璃及其制品，已经</w:t>
      </w:r>
      <w:r>
        <w:rPr>
          <w:rFonts w:hint="eastAsia" w:ascii="Times New Roman" w:hAnsi="Times New Roman" w:eastAsia="宋体" w:cs="Times New Roman"/>
          <w:sz w:val="28"/>
          <w:szCs w:val="28"/>
        </w:rPr>
        <w:t>由</w:t>
      </w:r>
      <w:r>
        <w:rPr>
          <w:rFonts w:ascii="Times New Roman" w:hAnsi="Times New Roman" w:eastAsia="宋体" w:cs="Times New Roman"/>
          <w:sz w:val="28"/>
          <w:szCs w:val="28"/>
        </w:rPr>
        <w:t>原来的采光、装饰，发展到用来控制光线、调节热量、改善环境，是建筑节能、绿色建筑的先行者。</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目前，各省市仍然存在着大量的既有建筑，这些建筑年代久远，大量使用着普通透明玻璃、着色玻璃等，普通透明玻璃虽采光好，但是保温隔热性能差，不利于建筑节能，着色玻璃虽具有一定的隔热性能，但透光性差，造成照明能耗上升。而新建的高层、超高层写字楼，也都大量运用玻璃幕墙，带来美观的同时，造成能耗成倍上升。</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目前市面上常见的节能玻璃主要是镀膜玻璃、中空玻璃，性能较好的玻璃为Low-E中空玻璃，其在光学性能、绝热性能、隔声性能上均有不错的表现，但由于其造价较高，导致不少开发商基于成本考虑，不愿意主动去使用。</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中空玻璃已经跻身于节能建筑材料行列，建设部在《民用建筑节能管理规定》中把中空玻璃列入推广应用的建材节能产品之一，加之绿建新标准对围护结构性能提升的要求，中空玻璃迎来良好的发展时态与机遇。</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政府部门可适当设置激励政策，鼓励开发商积极使用高性能玻璃，同时，引进玻璃生产企业进驻韶关，为其提供税收优惠，提供研发补助，让其扎根韶关，进一步提升韶关建筑玻璃性能的同时，也可以降低建材长途运输的碳排放。</w:t>
      </w:r>
    </w:p>
    <w:p>
      <w:pPr>
        <w:pStyle w:val="5"/>
        <w:spacing w:before="0" w:after="156" w:afterLines="50" w:line="360" w:lineRule="auto"/>
        <w:rPr>
          <w:rFonts w:hint="eastAsia" w:ascii="Times New Roman" w:hAnsi="Times New Roman" w:cs="Times New Roman" w:eastAsiaTheme="minorEastAsia"/>
          <w:sz w:val="28"/>
          <w:szCs w:val="28"/>
          <w:lang w:eastAsia="zh-CN"/>
        </w:rPr>
      </w:pPr>
      <w:r>
        <w:rPr>
          <w:rFonts w:ascii="Times New Roman" w:hAnsi="Times New Roman" w:cs="Times New Roman"/>
          <w:sz w:val="28"/>
          <w:szCs w:val="28"/>
        </w:rPr>
        <w:t>4.4.2 开展排放达峰行动，催生节能环保</w:t>
      </w:r>
      <w:r>
        <w:rPr>
          <w:rFonts w:hint="eastAsia" w:ascii="Times New Roman" w:hAnsi="Times New Roman" w:cs="Times New Roman"/>
          <w:sz w:val="28"/>
          <w:szCs w:val="28"/>
          <w:lang w:eastAsia="zh-CN"/>
        </w:rPr>
        <w:t>战略性新兴产业</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1、积极推广清洁能源</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中国已经作出承诺，在2030年前实现二氧化碳排放达峰、2060年前实现碳中和。“碳达峰”“碳中和”被写入政府工作报告，这将有力推动社会各界开展碳中和、碳达峰工作，也将为清洁能源、低碳技术等行业的发展带来机遇。</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太阳能作为清洁能源之一，是将太阳的光能转换成为其他形式的热能、电能、化学能，能源转换过程中不产生其他有害的气体或固体废料,是一种环保、安全、无污染的新型能源。</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韶关市1991~2020年近30年年均总辐射为3903~4346兆焦/平方米，折合太阳能发电小时数1084~1207小时，总体来看，仁化年均日照时数最高，为1707小时；乐昌最少，为1372小时。</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结合行政分区、地质地貌条件考虑，可以开展复合型光伏开发利用的资源包括：</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1）屋面光伏，包括城建公共建筑、工业（含产园区）等；</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2）水面光伏，考虑在部分公益性水库中建设；</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3）农林光伏，使用宜林地发展光伏项目；</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4）石漠化光伏，利用石漠化地区中较大面积的“荒山”开展光伏项目；</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全市集中式光伏可考虑农光互补和林光互补、石漠化光伏，分布式主要考虑布局在产业园屋顶、设施农业大棚屋顶、农村屋顶以及池塘/水库等。</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风能是空气流动所产生的动能，是太阳能的一种转化形式，由于太阳辐射造成地球表面各部分受热不均匀，引起大气层中压力分布不平衡，在水平气压梯度的作用下，空气沿水平方向运动形成风。风能资源的总储量非常巨大，是可再生的清洁能源，具有储量大、分布广的特点。</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风能资源较丰富，根据近30年韶关市国家气象站最大风速数据显示，韶关最大风速≥5.6m/s天数有68.7天，最大风速≥6.4m/s天数有39.5天，由此说明，韶关地区大风天气日数相对较多，适宜风能开发。项目选址在考虑风力资源的情况下，应避开各类自然保护地、鸟类主要迁徙通道、国家级生态公益林集中区域等。</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地处粤港澳大湾区辐射湘赣地区发展的枢纽位置，在区位、安全、气候、交通、网络、电力等方面有天然优势，同时，韶关作为华南重工业基地，钢铁、有色金属冶炼及深加工产业是其优势特色产业，在经济贡献中占有关键的基础地位。未来，韶关市可依托新能源项目和矿产资源情况导入新能源产业，实现资源资产价值最大化。</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面对目前不断增长的能源消费需求，韶关市应积极统筹利用新能源资源和开发条件，推动新能源开发与产业发展相互促进。大力发展风电、太阳能、智慧能源等新能源装备，打造新能源装备和产品研发制造基地。</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一是面向光伏产业的发展需求，强化与龙头企业及硅材料供应基地合作，坚持高端化、差异化发展路线，重点布局PERC及HJT电池与组件、太阳能集热器、光伏设备、逆变器、封装、浆料。围绕PERC及HJT电池与组件，引进电池及组件的关键设备制造，如钝化层沉积设备、高精度印刷及烧结设备、高质量非晶硅膜沉积设备、透明导电膜沉积设备等，形成高效电池及组件的关键设备供应能力。</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二是依托相关企业，在现有基础上，引进发展集整机制造及叶片、电机、齿轮箱、轴承等关键零部件制造，以及大型钢架结构，电缆等，打造风电高端装备制造基地。</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三是引进培育新能源船舶。抓住北江干线扩能升级机遇，在曲江白土镇规划建设船舶产业园，积极引进新能源船舶及配套企业。</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四是依托智能电网产业基地项目，重点发展智能电网基础装备、电力专用芯片、智能传感、电力机器人、输变配工程集成、储能及智慧能源系统等产业，积极引进智能电网关键材料、核心部件、设备集成，以及先进储能中的充放电、通信装置、系统管理等关键技术和设备研发制造企业。</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2、废旧建筑再利用</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绿色建筑是在全寿命周期内，节约资源、保护环境、减少污染，为人们提供健康、适用、高效的使用空间，最大限度地实现人与自然和谐共生的高质量建筑。</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碳排放计算包含了建筑的建材生产及运输、建造及拆除、运行，因此，废旧建筑的拆除必定影响着碳排放的进程。</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中国有着大量的建筑过早拆除，“短命”建筑比比皆是，因建筑自身质量造成拆除的占比不足10%，在大拆大建的背后，是建筑拆除、建筑垃圾的堆放、运输、处理所带来的资源浪费，环境破坏，上述建筑垃圾的运输、处理，将会新增不少的碳排放量。</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绿色建筑的设计、施工、运营已被广泛关注，但拆除一直被忽视。尽管绿色建筑评价标准中也已明确提出全寿命期的概念，但在拆除环节，除了部分条款涉及建筑垃圾、废弃物再利用外，并无进一步的操作细则，这也导致，即便是具有示范意义的高星级绿色建筑，在拆除方面也是软肋。</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一般建筑的设计使用年限为50年，而根据调研结果表明，被拆建筑的平均寿命仅为30年，而大部分建筑的拆除多是因为功能滞后、商业利益、形象工程等原因，因此，把大量的不该拆的建筑、老旧建筑通过绿色改造，让他们重获青春，对降低碳排放是大有帮助。</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对于废旧建筑的改造、废旧建筑的再利用，首先，政府应出台相关政策，规定符合城市规划、工程建设标准、在正常使用寿命内的建筑，除了涉及全体人民的公共利益需求外，不得随意拆除建筑。对于公共利益的界定，需引入第三方评估机构进行评估，同时参与到建筑拆除的审批流程中，提高建筑拆除的门槛。</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其次，对于废旧建筑改造给予政策支持，如改造、利用旧建筑的，在申办新工程项目是，给予一定的优惠政策，放宽要求，简化审批手续；改造、利用旧建筑应用新技术、新材料的给予一定的补贴。</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3、工程机械电动化</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大部分的建筑工程材料的运输都依靠各类大小货车，建筑工程施工场地中出现的工程机械一般有混凝土搅拌运输车、混凝土泵车、叉车、挖掘机等，这部分机械、车辆其动力来源一般是柴油，是化石能源的一种，属于不可再生资源。</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工信部发布的关于政协十三届全国委员会第三次会议第1535号提案答复的函中提到：工信部将联合相关部门发布实施《推动公共领域车辆电动化行动计划》，加快推进工程机械和重卡电动化。这项国家政策发布实施受到了工程机械行业高度关注。</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据相关统计数据显示，工程机械主要产品保有量已超800万台，并且每年保持着40万台的增长速度，面对如此巨大的市场前景，越来越多的制造商加</w:t>
      </w:r>
      <w:r>
        <w:rPr>
          <w:rFonts w:hint="eastAsia" w:ascii="Times New Roman" w:hAnsi="Times New Roman" w:eastAsia="宋体" w:cs="Times New Roman"/>
          <w:sz w:val="28"/>
          <w:szCs w:val="28"/>
        </w:rPr>
        <w:t>入</w:t>
      </w:r>
      <w:r>
        <w:rPr>
          <w:rFonts w:ascii="Times New Roman" w:hAnsi="Times New Roman" w:eastAsia="宋体" w:cs="Times New Roman"/>
          <w:sz w:val="28"/>
          <w:szCs w:val="28"/>
        </w:rPr>
        <w:t>工程机械电动化领域，如纯电动重型卡车、纯电动起重机、纯电动装载机、纯电动挖掘机、电动叉车等。</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对于在新能源工程机械的应用积极的、生产地址在韶关室内的材料供应商、物流企业，政府可给予税收优惠，同时联合交通运输部门，给予这部分企业购车补贴，以刺激电动工程机械的普及。</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4.4.3 提升建筑绿色健康品质，为高新科技产业开辟应用场景</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物联网即“万物相连的互联网”，是互联网基础上的延伸和扩展的网络，将各种信息传感设备与网络结合起来而形成的一个巨大网络，实现在任何时间、任何地点，人、机、物的互联互通。</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物联网是新一代信息技术的重要组成部分，又叫泛互联，意指物物相连，万物万联。由此，“物联网就是物物相连的互联网”。这有两层意思：第一，物联网的核心和基础仍然是互联网，是在互联网基础上的延伸和扩展的网络；第二，其用户端延伸和扩展到了任何物品与物品之间，进行信息交换和通信。因此，物联网的定义是通过射频识别、红外感应器、全球定位系统、激光扫描器等信息传感设备，按约定的协议，把任何物品与互联网相连接，进行信息交换和通信，以实现对物品的智能化识别、定位、跟踪、监控和管理的一种网络。</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早期的楼宇自动化系统（BACS）通常只有以HVAC楼宇设备为主的自控系统，随着通讯与计算技术，尤其是互联网技术、物联网技术、云计算的发展，其他楼宇中的设备也逐渐地被集成到楼宇自动化系统中，如消防自动报警与控制、安防、电梯、供配电、供水、智能卡门禁、能耗监测等等系统，实现了基于IT的物业管理系统、办公自动化系统等与控制系统的融合，形成智能建筑综合管理系统（IBMS）。现代智能建筑综合管理系统是一个高度集成、和谐互动、具有统一操作接口和界面的“高智商”的企业级信息系统，为用户提供了舒适、方便和安全的建筑环境。</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绿色建筑评价标准中，也有设计智能建筑的相关条文，如应配备具有自动监控管理功能的建筑设备管理系统，信息网络系统，用能、用水自动远传计量系统，智能化服务系统等，由此可见，“智能互联”是当今绿色建筑的一大特性，绿色智能建筑也随之进入大众视野。绿色智能建筑是构建智慧城市的基本单元，许多行业如智能交通、市政管理、应急指挥、安防消防、环保监测等业务中，智能建筑都是其“物联”的基本单元。</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上述物联网定义所描绘的蓝图和预期，正好也完全符合绿色智能建筑的蓝图与预期。大集成应用、大联网营运是物联网，也是绿色智能建筑业务发展的目标和愿景。</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大规模的物联网/绿色智能建筑应用需要首先建立统一的数据交换标准以及打造开放的业务基础中间件平台，这无疑是核心技术，是一个“面”的问题，但这属于集成创新，体现总体“软实力”，难度在产品化，不亚于发明一项新的“颠覆性”技术。同时要发展传感器，控制器，RFID等末端技术及产品化，规模化生产，这属于“上量”和创造产值的主体，但这属于“点”的问题，在一些传感器等核心技术研发等难“点”上，可能需要技术攻关才能有所突破，但不会阻碍整个产业及应用的发展。物联网及绿色智能建筑整体产业的发展，都需要通过以“面”带“点”的方式推动发展。</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因此，政府部门可以联合省内相关高新技术企业，开发智慧城市技术服务平台并建立高新科技产业园，通过技术平台、产业园，给予企业政策扶持，税收优惠，吸引更多的“点”企业到韶关开设研究中心，研发符合时代要求的新技术、新产品；在推广应用方面，可以要求政府投资的建设项目使用一定数量的物联网技术，从而带动整个韶关绿色建筑向高质量、高智能发展。</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 xml:space="preserve">4.4.4 </w:t>
      </w:r>
      <w:bookmarkStart w:id="103" w:name="_Hlk107243036"/>
      <w:r>
        <w:rPr>
          <w:rFonts w:ascii="Times New Roman" w:hAnsi="Times New Roman" w:cs="Times New Roman"/>
          <w:sz w:val="28"/>
          <w:szCs w:val="28"/>
        </w:rPr>
        <w:t>健全发展机制，</w:t>
      </w:r>
      <w:r>
        <w:rPr>
          <w:rFonts w:hint="eastAsia" w:ascii="Times New Roman" w:hAnsi="Times New Roman" w:cs="Times New Roman"/>
          <w:sz w:val="28"/>
          <w:szCs w:val="28"/>
        </w:rPr>
        <w:t>创新人才和服务</w:t>
      </w:r>
      <w:r>
        <w:rPr>
          <w:rFonts w:ascii="Times New Roman" w:hAnsi="Times New Roman" w:cs="Times New Roman"/>
          <w:sz w:val="28"/>
          <w:szCs w:val="28"/>
        </w:rPr>
        <w:t>发展</w:t>
      </w:r>
      <w:bookmarkEnd w:id="103"/>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1、</w:t>
      </w:r>
      <w:bookmarkStart w:id="104" w:name="_Hlk107243066"/>
      <w:r>
        <w:rPr>
          <w:rFonts w:ascii="Times New Roman" w:hAnsi="Times New Roman" w:eastAsia="宋体" w:cs="Times New Roman"/>
          <w:sz w:val="28"/>
          <w:szCs w:val="28"/>
        </w:rPr>
        <w:t>开展第三方绿色建筑预评估</w:t>
      </w:r>
      <w:bookmarkEnd w:id="104"/>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新版《绿色建筑评价标准》（GB/T 50378-2019）取消了设计标识，但是在建筑工程施工图设计完成后，可以进行预评价，进行预评价能够更早地掌握建筑工程可能实现的绿色性能，可以及时优化或调整建筑方案或技术措施，为绿色技术的施工落实，建成后的运行管理做准备。</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以往设计标识的申报，由申报单位向评价机构提交申请，再由机构聘请相关专家进行评审，新绿建标准的预评价也可参考这种做法，在评价机构以及评审专家的选择上，政府主管部门可以适度放开，允许并鼓励本地第三方技术服务机构通过考核成为评价机构，允许并鼓励本地建设单位、监理单位、施工单位的人员通过考核成为评审专家，以此服务于韶关，这样可以迅速提升韶关本地企业的绿色技术水平，提高对相关行业人员对绿色建筑的认知水平，从而从根本上提升绿色建筑的质量。</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w:t>
      </w:r>
      <w:r>
        <w:rPr>
          <w:rFonts w:hint="eastAsia" w:ascii="Times New Roman" w:hAnsi="Times New Roman" w:eastAsia="宋体" w:cs="Times New Roman"/>
          <w:sz w:val="28"/>
          <w:szCs w:val="28"/>
        </w:rPr>
        <w:t>、</w:t>
      </w:r>
      <w:r>
        <w:rPr>
          <w:rFonts w:ascii="Times New Roman" w:hAnsi="Times New Roman" w:eastAsia="宋体" w:cs="Times New Roman"/>
          <w:sz w:val="28"/>
          <w:szCs w:val="28"/>
        </w:rPr>
        <w:t>创新人才引进政策与服务机制</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积极引进国内外高端人才，支持企业引进产业发展紧缺的技术人才与高管人才，并根据企业纳税及社会贡献给予一定的人才奖补指标。加强材料、建筑等相关学科的建设，依托高校、园区建立海外人才工作站、科技人才市场服务平台，建立链接全球的创新人才引进平台网络，推进人才和团队的引进和聚集，鼓励企业和院校合作，联合培养人才。加强与省内高校、科研机构的对接，打造科技创新平台，为行业发展提供驱动力。强化人才激励机制，鼓励企业以股权、期权、分红等方式加大对优秀人才的激励力度。用好人才入户与人才绿卡指标，提升住房、医疗、子女教育等方面的人才服务水平。</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3、推行绿色金融</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绿色金融是指为支持环境改善、应对气候变化和资源节约高效利用的经济活动，即对环保、节能、清洁能源、绿色交通、绿色建筑等领域的项目投融资、项目运营、风险管理等所提供的金融服务，具体的金融工具有绿色信贷、绿色债券、绿色股票指数和相关产品、绿色发展基金、绿色保险、碳金融等。</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2017年以来，国务院相继批准浙江、江西、广东、贵州、新疆、甘肃、重庆七省（区）十地开展绿色金融改革创新试验</w:t>
      </w:r>
      <w:r>
        <w:rPr>
          <w:rFonts w:ascii="Times New Roman" w:hAnsi="Times New Roman" w:eastAsia="宋体" w:cs="Times New Roman"/>
          <w:sz w:val="28"/>
          <w:szCs w:val="28"/>
        </w:rPr>
        <w:t>，探索具有区域特色的绿色金融发展模式，以绿色金融服务地方经济绿色转型。</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2019年3月，发改委发布了《绿色产业指导目录（2019年版）》及解释说明文件，将绿色产业划分为了六大类别，包括节能环保产业、清洁生产产业、清洁能源产业、生态环境产业、基础设施绿色升级以及绿色服务。</w:t>
      </w:r>
      <w:r>
        <w:rPr>
          <w:rFonts w:hint="eastAsia" w:ascii="Times New Roman" w:hAnsi="Times New Roman" w:eastAsia="宋体" w:cs="Times New Roman"/>
          <w:sz w:val="28"/>
          <w:szCs w:val="28"/>
        </w:rPr>
        <w:t>2021年4月，中国人民银行、发展改革委、证监会关于印发《绿色债券支持项目目录（2021年版）》的通知，进一步规范国内绿色债券市场</w:t>
      </w:r>
      <w:r>
        <w:rPr>
          <w:rFonts w:ascii="Times New Roman" w:hAnsi="Times New Roman" w:eastAsia="宋体" w:cs="Times New Roman"/>
          <w:sz w:val="28"/>
          <w:szCs w:val="28"/>
        </w:rPr>
        <w:t>。</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绿色金融通过为推动新旧动能转换、污染防治、节能减排等项目提供综合性金融服务，随着绿色金融体系建设的不断完善，环境效益凸显，市场规模不断扩大，未来空间广阔，当下正是绿色金融产品创新应用之时。</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政府需要做好绿色金融的发展工作，需要顶层设计，对未来的发展路径做好长期规划，引导银行、保险、证券基金等各类金融机构树立绿色发展的观念思维，积极创新，利用多元化的金融工具支持绿色企业与绿色项目。主要包含以下几个方向：</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加强思想指引。把推进绿色金融改革创新与推进模范机关创建工作结合起来，推动党建工作与业务工作双提升。</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运用货币政策工具支持绿色信贷发展。综合运用再贷款、再贴现，引导金融机构加大绿色信贷投入。</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逐步建立起促进绿色金融发展的综合激励约束机制，定期对韶关市辖区法人银行机构开展绿色金融评价，将评价结果纳入央行评级和全市银行业机构综合评估，引导金融机构扩大绿色信贷投放</w:t>
      </w:r>
      <w:r>
        <w:rPr>
          <w:rFonts w:ascii="Times New Roman" w:hAnsi="Times New Roman" w:eastAsia="宋体" w:cs="Times New Roman"/>
          <w:sz w:val="28"/>
          <w:szCs w:val="28"/>
        </w:rPr>
        <w:t>。</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2022</w:t>
      </w:r>
      <w:r>
        <w:rPr>
          <w:rFonts w:hint="eastAsia" w:ascii="Times New Roman" w:hAnsi="Times New Roman" w:eastAsia="宋体" w:cs="Times New Roman"/>
          <w:sz w:val="28"/>
          <w:szCs w:val="28"/>
        </w:rPr>
        <w:t>年上半年，韶关市辖区银行机构已设立14个绿色网点，成立9个直营或专营团队，为绿色金融开辟绿色通道，创新推出合同能源管理项目未来收益权质押贷款、碳排放权质押融资、绿色票据等绿色金融产品，绿色信贷余额合计161.43亿元，同比增长52.41%，比年初增长27.03%。</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韶关市金融局、银保监分局、人民银行韶关中支印发《韶关市进一步推进绿色金融发展实施方案》，支持建设绿色金融组织体系，鼓励加大绿色信贷支持，推进创新绿色保险业务，探索新的绿色金融模式，为实现建立多层次绿色金融组织体系、多元化绿色金融产品服务体系和多层级政策支持服务体系的绿色金融目标奠定制度基础。同时，深入开展绿色金融评估调研。组织全市银行机构开展绿色金融工作自评，进一步提高绿色金融工作质效；深入开展绿色金融调研，通过现场走访银行及企业、发放调查问卷、加强部门联动等方式，深入探究我市绿色金融发展的成效与困难，提出政策建议。　</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韶关市深入贯彻落实党中央的新发展理念和“十四五”规划关于“加快发展方式绿色转型”的决策部署，全力筑牢粤北生态屏障，积极打造绿色发展韶关样板，大力发展绿色金融。市金融工作局、人民银行韶关中支、韶关银保监分局在《韶关市“绿色金融街”创建试点实施方案》的基础上联合印发《绿色金融街试点创建工作验收方案》，全面开展韶关市“绿色金融街”创建试点验收工作，推动绿色金融创新发展。</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 xml:space="preserve">4.4.5 </w:t>
      </w:r>
      <w:bookmarkStart w:id="105" w:name="_Hlk107243123"/>
      <w:r>
        <w:rPr>
          <w:rFonts w:ascii="Times New Roman" w:hAnsi="Times New Roman" w:cs="Times New Roman"/>
          <w:sz w:val="28"/>
          <w:szCs w:val="28"/>
        </w:rPr>
        <w:t>协调区域，优化产业链条</w:t>
      </w:r>
    </w:p>
    <w:bookmarkEnd w:id="105"/>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现代工业起步较早。五、六十年代和七十年代，国家先后把韶关作为华南重工业基地和广东战略后方来建设，建立起韶关钢铁厂、韶关冶炼厂、韶关挖掘机厂、凡口铅锌矿、大宝山矿等一大批骨干工业企业，奠定了韶关工业在当地经济中的基础地位，成为广东重要的工业基地。八十年代以来，韶关的工业得到了进一步发展的同时，轻重产业结构也得到调整。进入二十一世纪，韶关工业紧紧围绕“建设粤北经济强市”的目标，因地制宜，突出特色，依托资源优势，积极发展优势产业。目前基本形成了资源型产业突出、加工工业雄厚、部分轻工业份量较重的综合类工业城市。</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广东两大型钢铁生产基地，同时也是广东特钢生产基地，龙头企业宝武集团广东韶关钢铁有限公司钢年生产能力已达650万吨，跻身世界钢铁企业100强之列，是中国重要的船板钢生产企业；华南特钢产业园，依托韶钢重点发展钢铁和特钢产业集群，以粉末冶金、钢铁深加工等产业为重点，延伸韶钢产业链，打造广东钢铁深加工基地。韶关被称为“中国锌都”、“中国有色金属之乡”，辖内仁化县有色金属循环经济产业基地于2011年1月被省经信委认定为“第一批省市共建循环经济产业基地”，基地规划总面积6000亩，正在建设成为有色金属产业高度聚集的“生态、环保、科技、创税、规模”五型产业基地。</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近年来，产业园区逐步成为重要增长极。莞韶产业园首期规划面积28.63平方公里，远期规划面积150平方公里，机械制造、电子、医药、印刷、玩具产业发展迅速。乐昌产业园规划面积13463亩，重点发展钟表机械、纺织、机械制造。南雄产业园规划面积11782亩，以精细化工、电子机械及器材制造为主导产业。仁化产业园规划面积6960亩，重点布局有色金属冶炼及深加工、机械制造、电子信息、仓储运输、信息物流、制造业服务业。始兴产业园规划面积12818亩，重点发展文具制笔、新型材料、家具、有色金属、塑料再生资源、“三电”产业集群。翁源产业园分为主打化工涂料规划面积8000亩的华彩园区、主打电源产业规划面积4200亩电源基地、主打商贸规划500亩的利龙工业园和主打生态、高新、特色农业种养殖规划面积50000亩的粤台农业园。新丰产业园规划1万亩，重点发展环保建材和稀土开发加工。乳源产业园规划面积8175亩，发展电子铝箔、生物制药、氟新材料和绿色食品。</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2019年，全市全年新增国家高新技术企业69家、省级工程技术研发中心15家、企业类省重点实验室1家。2019年末拥有省级工程技术研究中心76家，省、市工程技术研发中心累计达到229家，国家级高新技术企业236家，省级火炬计划特色产业基地3 个，省重点实验室2家，获广东省科学技术奖1项。2019年，全市专利申请量4818件，其中发明专利申请量763件。全市专利授权量3307件，其中发明专利授权量157件。韶关已成为国内外客商的热点投资地区。</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市成为全省唯一的碳排放权交易试点城市、纳入国家节能减排财政政策综合示范城市，加之前些年所获得的中国优秀旅游城市、国家卫生城市、国家园林城市、全国双拥模范城、全国生态文明建设试点地、中国金融生态城市、广东省历史文化名城、广东省文明城市、国家科技进步考核先进市、产学研结合示范市。韶关已成为经济较有基础、交通便利、生态良好、文明、发展潜力巨大的优良之地。</w:t>
      </w:r>
    </w:p>
    <w:p>
      <w:pPr>
        <w:adjustRightInd w:val="0"/>
        <w:snapToGrid w:val="0"/>
        <w:spacing w:line="360" w:lineRule="auto"/>
        <w:ind w:firstLine="560" w:firstLineChars="200"/>
        <w:rPr>
          <w:rFonts w:ascii="Times New Roman" w:hAnsi="Times New Roman" w:eastAsia="宋体" w:cs="Times New Roman"/>
          <w:sz w:val="28"/>
          <w:szCs w:val="28"/>
        </w:rPr>
      </w:pPr>
      <w:bookmarkStart w:id="106" w:name="_Toc24906_WPSOffice_Level3"/>
      <w:r>
        <w:rPr>
          <w:rFonts w:ascii="Times New Roman" w:hAnsi="Times New Roman" w:eastAsia="宋体" w:cs="Times New Roman"/>
          <w:sz w:val="28"/>
          <w:szCs w:val="28"/>
        </w:rPr>
        <w:t>韶关市有丰富的水泥原材料资源。</w:t>
      </w:r>
      <w:bookmarkEnd w:id="106"/>
      <w:r>
        <w:rPr>
          <w:rFonts w:ascii="Times New Roman" w:hAnsi="Times New Roman" w:eastAsia="宋体" w:cs="Times New Roman"/>
          <w:sz w:val="28"/>
          <w:szCs w:val="28"/>
        </w:rPr>
        <w:t>清远市建材产业如水泥等已得到了市场的充分肯定，在英德市，就有“台泥”和“海螺水泥”的多条日产5000吨熟料新型干法水泥生产线投产，使英德成为目前国内产能最大的新型干法水泥生产基地。可以凭借与清远市比邻的地理优势降低水泥原材料运输成本。</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 xml:space="preserve">    韶关市正致力于打造新能源全产业链，构建以新能源为主体的新型电力系统，创建“碳达峰、碳中和先行示范区”，武江区、始兴县、南雄市已被国家能源局列为屋顶分布式光伏开发试点单位，目前正大力引进三峡新能源集团、明阳智慧能源集团等光伏企业落户韶关并计划成立一个光伏产业园，华南装备园等也正推动更多屋顶分布式光伏电站项目落地。在韶关市大力发展光伏发电等新能源的背景下，对高硼硅等材料的需求会持续增长。河源市石英矿资源丰富，是华南地区罕见的优质石英石资源基地，具有成矿分布好、资源储量达、矿石质量优、开采条件佳等优势，随着2017年华南地区首条新能源特殊材料——高硼硅生产线正式运行，标志着华南地区最大的光热特种玻璃生产基地已全面运行。高硼硅光热玻璃，是工业的必需品，常用于新能源光热、灯饰、仪器及生活用品等行业。长期以来，华南的制造商都是从北方购买</w:t>
      </w:r>
      <w:bookmarkStart w:id="107" w:name="_Hlk111560171"/>
      <w:r>
        <w:rPr>
          <w:rFonts w:ascii="Times New Roman" w:hAnsi="Times New Roman" w:eastAsia="宋体" w:cs="Times New Roman"/>
          <w:sz w:val="28"/>
          <w:szCs w:val="28"/>
        </w:rPr>
        <w:t>高硼硅材料</w:t>
      </w:r>
      <w:bookmarkEnd w:id="107"/>
      <w:r>
        <w:rPr>
          <w:rFonts w:ascii="Times New Roman" w:hAnsi="Times New Roman" w:eastAsia="宋体" w:cs="Times New Roman"/>
          <w:sz w:val="28"/>
          <w:szCs w:val="28"/>
        </w:rPr>
        <w:t>，不仅时效低，且运输成本高。高硼硅生产线投产运营后，将实现年产高硼硅光热玻璃1万吨，深加工太阳能集热管60万支，可为华南地区90％以上的太阳能光热企业提供核心元件高硼硅玻璃毛坯管，从而打破了该领域“北强南弱”的传统格局。韶关市未来对光伏发电材料需求可以很好的与河源市的高硼硅产业协同发展。</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广东省韶关钢铁集团有限公司（简称“韶钢”）是中国企业500强，广东企业50强之一，是广东省重要的钢铁生产基地，韶关市拥有优异钢铁原材料和深加工优势。在国家</w:t>
      </w:r>
      <w:r>
        <w:rPr>
          <w:rFonts w:hint="eastAsia" w:ascii="Times New Roman" w:hAnsi="Times New Roman" w:eastAsia="宋体" w:cs="Times New Roman"/>
          <w:sz w:val="28"/>
          <w:szCs w:val="28"/>
        </w:rPr>
        <w:t>、</w:t>
      </w:r>
      <w:r>
        <w:rPr>
          <w:rFonts w:ascii="Times New Roman" w:hAnsi="Times New Roman" w:eastAsia="宋体" w:cs="Times New Roman"/>
          <w:sz w:val="28"/>
          <w:szCs w:val="28"/>
        </w:rPr>
        <w:t>省大力推动装配式建筑的背景下，未来省内尤其是珠三角地区对钢结构装配式构件的需求将大幅上升，韶关市可利用原材料优势、土地政策等吸引广州、深圳等城市的优秀装配式构件企业落户韶关，并借机提高本市的装配式建筑技术，发展装配式建筑产业。</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韶关在进行产业规划时，一是需要</w:t>
      </w:r>
      <w:bookmarkStart w:id="108" w:name="_Hlk107243267"/>
      <w:r>
        <w:rPr>
          <w:rFonts w:ascii="Times New Roman" w:hAnsi="Times New Roman" w:eastAsia="宋体" w:cs="Times New Roman"/>
          <w:sz w:val="28"/>
          <w:szCs w:val="28"/>
        </w:rPr>
        <w:t>充分考虑邻居地市的优势产业，研究本地企业与邻市企业的协同发展</w:t>
      </w:r>
      <w:bookmarkEnd w:id="108"/>
      <w:r>
        <w:rPr>
          <w:rFonts w:ascii="Times New Roman" w:hAnsi="Times New Roman" w:eastAsia="宋体" w:cs="Times New Roman"/>
          <w:sz w:val="28"/>
          <w:szCs w:val="28"/>
        </w:rPr>
        <w:t>，避免产业同质化竞争，造成产能过剩，产品价格低下等不利于企业发展的问题。二是</w:t>
      </w:r>
      <w:bookmarkStart w:id="109" w:name="_Hlk107243286"/>
      <w:r>
        <w:rPr>
          <w:rFonts w:ascii="Times New Roman" w:hAnsi="Times New Roman" w:eastAsia="宋体" w:cs="Times New Roman"/>
          <w:sz w:val="28"/>
          <w:szCs w:val="28"/>
        </w:rPr>
        <w:t>加强与珠三角其他地市的联动，积极对接各地市优势产业</w:t>
      </w:r>
      <w:bookmarkEnd w:id="109"/>
      <w:r>
        <w:rPr>
          <w:rFonts w:ascii="Times New Roman" w:hAnsi="Times New Roman" w:eastAsia="宋体" w:cs="Times New Roman"/>
          <w:sz w:val="28"/>
          <w:szCs w:val="28"/>
        </w:rPr>
        <w:t>，形成以“广深佛为科研中心和总部基地，韶关配套发展生产”的产业优势互补格局。</w:t>
      </w:r>
    </w:p>
    <w:p>
      <w:pPr>
        <w:spacing w:after="156" w:afterLines="50"/>
        <w:outlineLvl w:val="1"/>
        <w:rPr>
          <w:rFonts w:ascii="Times New Roman" w:hAnsi="Times New Roman" w:eastAsia="楷体" w:cs="Times New Roman"/>
          <w:b/>
          <w:bCs/>
          <w:sz w:val="32"/>
          <w:szCs w:val="32"/>
        </w:rPr>
      </w:pPr>
      <w:bookmarkStart w:id="110" w:name="_Toc116399605"/>
      <w:r>
        <w:rPr>
          <w:rFonts w:ascii="Times New Roman" w:hAnsi="Times New Roman" w:eastAsia="楷体" w:cs="Times New Roman"/>
          <w:b/>
          <w:bCs/>
          <w:sz w:val="32"/>
          <w:szCs w:val="32"/>
        </w:rPr>
        <w:t>4.5 本章小结</w:t>
      </w:r>
      <w:bookmarkEnd w:id="110"/>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本章</w:t>
      </w:r>
      <w:bookmarkStart w:id="111" w:name="_Hlk109835041"/>
      <w:r>
        <w:rPr>
          <w:rFonts w:ascii="Times New Roman" w:hAnsi="Times New Roman" w:eastAsia="宋体" w:cs="Times New Roman"/>
          <w:sz w:val="28"/>
          <w:szCs w:val="28"/>
        </w:rPr>
        <w:t>通过对绿色建筑全过程产业分支与发展潜力的分析，提出了绿色建材的相关发展目标如下表4.5-1所示。</w:t>
      </w:r>
      <w:bookmarkEnd w:id="111"/>
    </w:p>
    <w:p>
      <w:pPr>
        <w:adjustRightInd w:val="0"/>
        <w:snapToGrid w:val="0"/>
        <w:spacing w:before="156" w:beforeLines="50" w:after="156" w:afterLines="50"/>
        <w:jc w:val="center"/>
        <w:rPr>
          <w:rFonts w:ascii="Times New Roman" w:hAnsi="Times New Roman" w:cs="Times New Roman"/>
          <w:szCs w:val="21"/>
        </w:rPr>
      </w:pPr>
      <w:r>
        <w:rPr>
          <w:rFonts w:ascii="Times New Roman" w:hAnsi="Times New Roman" w:cs="Times New Roman"/>
          <w:szCs w:val="21"/>
        </w:rPr>
        <w:t>表4.5-1 绿色建筑和</w:t>
      </w:r>
      <w:bookmarkStart w:id="112" w:name="_Hlk114838220"/>
      <w:r>
        <w:rPr>
          <w:rFonts w:ascii="Times New Roman" w:hAnsi="Times New Roman" w:cs="Times New Roman"/>
          <w:szCs w:val="21"/>
        </w:rPr>
        <w:t>绿色建材发展目标</w:t>
      </w:r>
    </w:p>
    <w:bookmarkEnd w:id="112"/>
    <w:tbl>
      <w:tblPr>
        <w:tblStyle w:val="18"/>
        <w:tblW w:w="8528" w:type="dxa"/>
        <w:tblInd w:w="0" w:type="dxa"/>
        <w:tblLayout w:type="fixed"/>
        <w:tblCellMar>
          <w:top w:w="0" w:type="dxa"/>
          <w:left w:w="108" w:type="dxa"/>
          <w:bottom w:w="0" w:type="dxa"/>
          <w:right w:w="108" w:type="dxa"/>
        </w:tblCellMar>
      </w:tblPr>
      <w:tblGrid>
        <w:gridCol w:w="987"/>
        <w:gridCol w:w="2366"/>
        <w:gridCol w:w="5175"/>
      </w:tblGrid>
      <w:tr>
        <w:tblPrEx>
          <w:tblCellMar>
            <w:top w:w="0" w:type="dxa"/>
            <w:left w:w="108" w:type="dxa"/>
            <w:bottom w:w="0" w:type="dxa"/>
            <w:right w:w="108" w:type="dxa"/>
          </w:tblCellMar>
        </w:tblPrEx>
        <w:trPr>
          <w:trHeight w:val="340" w:hRule="atLeast"/>
          <w:tblHeader/>
        </w:trPr>
        <w:tc>
          <w:tcPr>
            <w:tcW w:w="9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b/>
                <w:bCs/>
                <w:kern w:val="0"/>
                <w:szCs w:val="21"/>
              </w:rPr>
            </w:pPr>
            <w:r>
              <w:rPr>
                <w:rFonts w:ascii="Times New Roman" w:hAnsi="Times New Roman" w:cs="Times New Roman"/>
                <w:b/>
                <w:bCs/>
                <w:kern w:val="0"/>
                <w:szCs w:val="21"/>
              </w:rPr>
              <w:t>序号</w:t>
            </w:r>
          </w:p>
        </w:tc>
        <w:tc>
          <w:tcPr>
            <w:tcW w:w="236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b/>
                <w:bCs/>
                <w:kern w:val="0"/>
                <w:szCs w:val="21"/>
              </w:rPr>
            </w:pPr>
            <w:r>
              <w:rPr>
                <w:rFonts w:ascii="Times New Roman" w:hAnsi="Times New Roman" w:cs="Times New Roman"/>
                <w:b/>
                <w:bCs/>
                <w:kern w:val="0"/>
                <w:szCs w:val="21"/>
              </w:rPr>
              <w:t>指标</w:t>
            </w:r>
          </w:p>
        </w:tc>
        <w:tc>
          <w:tcPr>
            <w:tcW w:w="517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b/>
                <w:bCs/>
                <w:kern w:val="0"/>
                <w:szCs w:val="21"/>
              </w:rPr>
            </w:pPr>
            <w:r>
              <w:rPr>
                <w:rFonts w:ascii="Times New Roman" w:hAnsi="Times New Roman" w:cs="Times New Roman"/>
                <w:b/>
                <w:bCs/>
                <w:kern w:val="0"/>
                <w:szCs w:val="21"/>
              </w:rPr>
              <w:t>2025年目标</w:t>
            </w:r>
          </w:p>
        </w:tc>
      </w:tr>
      <w:tr>
        <w:tblPrEx>
          <w:tblCellMar>
            <w:top w:w="0" w:type="dxa"/>
            <w:left w:w="108" w:type="dxa"/>
            <w:bottom w:w="0" w:type="dxa"/>
            <w:right w:w="108" w:type="dxa"/>
          </w:tblCellMar>
        </w:tblPrEx>
        <w:trPr>
          <w:trHeight w:val="340" w:hRule="atLeast"/>
        </w:trPr>
        <w:tc>
          <w:tcPr>
            <w:tcW w:w="9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1</w:t>
            </w:r>
          </w:p>
        </w:tc>
        <w:tc>
          <w:tcPr>
            <w:tcW w:w="2366" w:type="dxa"/>
            <w:tcBorders>
              <w:top w:val="single" w:color="auto" w:sz="4" w:space="0"/>
              <w:left w:val="nil"/>
              <w:bottom w:val="single" w:color="auto" w:sz="4" w:space="0"/>
              <w:right w:val="single" w:color="auto" w:sz="4" w:space="0"/>
            </w:tcBorders>
            <w:shd w:val="clear" w:color="auto" w:fill="auto"/>
            <w:vAlign w:val="center"/>
          </w:tcPr>
          <w:p>
            <w:pPr>
              <w:widowControl/>
              <w:rPr>
                <w:rFonts w:ascii="Times New Roman" w:hAnsi="Times New Roman" w:cs="Times New Roman"/>
                <w:kern w:val="0"/>
                <w:szCs w:val="21"/>
              </w:rPr>
            </w:pPr>
            <w:r>
              <w:rPr>
                <w:rFonts w:ascii="Times New Roman" w:hAnsi="Times New Roman" w:cs="Times New Roman"/>
                <w:kern w:val="0"/>
                <w:szCs w:val="21"/>
              </w:rPr>
              <w:t>绿色建筑</w:t>
            </w:r>
          </w:p>
        </w:tc>
        <w:tc>
          <w:tcPr>
            <w:tcW w:w="517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100%</w:t>
            </w:r>
          </w:p>
        </w:tc>
      </w:tr>
      <w:tr>
        <w:tblPrEx>
          <w:tblCellMar>
            <w:top w:w="0" w:type="dxa"/>
            <w:left w:w="108" w:type="dxa"/>
            <w:bottom w:w="0" w:type="dxa"/>
            <w:right w:w="108" w:type="dxa"/>
          </w:tblCellMar>
        </w:tblPrEx>
        <w:trPr>
          <w:trHeight w:val="340" w:hRule="atLeast"/>
        </w:trPr>
        <w:tc>
          <w:tcPr>
            <w:tcW w:w="9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2</w:t>
            </w:r>
          </w:p>
        </w:tc>
        <w:tc>
          <w:tcPr>
            <w:tcW w:w="2366" w:type="dxa"/>
            <w:tcBorders>
              <w:top w:val="single" w:color="auto" w:sz="4" w:space="0"/>
              <w:left w:val="nil"/>
              <w:bottom w:val="single" w:color="auto" w:sz="4" w:space="0"/>
              <w:right w:val="single" w:color="auto" w:sz="4" w:space="0"/>
            </w:tcBorders>
            <w:shd w:val="clear" w:color="auto" w:fill="auto"/>
            <w:vAlign w:val="center"/>
          </w:tcPr>
          <w:p>
            <w:pPr>
              <w:widowControl/>
              <w:rPr>
                <w:rFonts w:ascii="Times New Roman" w:hAnsi="Times New Roman" w:cs="Times New Roman"/>
                <w:kern w:val="0"/>
                <w:szCs w:val="21"/>
              </w:rPr>
            </w:pPr>
            <w:r>
              <w:rPr>
                <w:rFonts w:ascii="Times New Roman" w:hAnsi="Times New Roman" w:cs="Times New Roman"/>
                <w:kern w:val="0"/>
                <w:szCs w:val="21"/>
              </w:rPr>
              <w:t>装配式建筑</w:t>
            </w:r>
          </w:p>
        </w:tc>
        <w:tc>
          <w:tcPr>
            <w:tcW w:w="517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20%</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3</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绿色建材产业总产值</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56亿元</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4</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散装水泥使用率</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75%</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5</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预拌混凝土企业绿色生产比例</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100%</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6</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可再生能源</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20万平方米</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7</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太阳能光电建筑应用装机容量</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5兆瓦</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8</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绿色建材</w:t>
            </w:r>
          </w:p>
        </w:tc>
        <w:tc>
          <w:tcPr>
            <w:tcW w:w="5175"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cs="Times New Roman"/>
                <w:kern w:val="0"/>
                <w:szCs w:val="21"/>
              </w:rPr>
            </w:pPr>
            <w:r>
              <w:rPr>
                <w:rFonts w:ascii="Times New Roman" w:hAnsi="Times New Roman" w:cs="Times New Roman"/>
                <w:kern w:val="0"/>
                <w:szCs w:val="21"/>
              </w:rPr>
              <w:t>鼓励在绿色建筑、装配式建筑等政府投资项目中率先使用绿色建材</w:t>
            </w:r>
          </w:p>
        </w:tc>
      </w:tr>
    </w:tbl>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根据</w:t>
      </w:r>
      <w:bookmarkStart w:id="113" w:name="_Hlk109835146"/>
      <w:r>
        <w:rPr>
          <w:rFonts w:ascii="Times New Roman" w:hAnsi="Times New Roman" w:eastAsia="宋体" w:cs="Times New Roman"/>
          <w:sz w:val="28"/>
          <w:szCs w:val="28"/>
        </w:rPr>
        <w:t>各县（市、区）现有建材企业特点、工业园区发展定位、本地资源优势、地理优势等因素</w:t>
      </w:r>
      <w:bookmarkEnd w:id="113"/>
      <w:r>
        <w:rPr>
          <w:rFonts w:ascii="Times New Roman" w:hAnsi="Times New Roman" w:eastAsia="宋体" w:cs="Times New Roman"/>
          <w:sz w:val="28"/>
          <w:szCs w:val="28"/>
        </w:rPr>
        <w:t>，分县（市、区）分析当地建材的发展基础，并提出的具体发展方向和策略，韶关市各县（市、区）绿色建材产业推荐发展方向如图4.5-2所示。2025年各县（市、区）绿色建材产值目标如下表4.5-3所示。</w:t>
      </w:r>
    </w:p>
    <w:p>
      <w:pPr>
        <w:adjustRightInd w:val="0"/>
        <w:snapToGrid w:val="0"/>
        <w:spacing w:before="156" w:beforeLines="50" w:after="156" w:afterLines="50"/>
        <w:jc w:val="center"/>
        <w:rPr>
          <w:rFonts w:ascii="Times New Roman" w:hAnsi="Times New Roman" w:cs="Times New Roman"/>
          <w:szCs w:val="21"/>
        </w:rPr>
      </w:pPr>
      <w:r>
        <w:rPr>
          <w:rFonts w:ascii="Times New Roman" w:hAnsi="Times New Roman" w:cs="Times New Roman"/>
          <w:szCs w:val="21"/>
        </w:rPr>
        <w:t>表4.5-2 绿色建材产业布局指引</w:t>
      </w:r>
    </w:p>
    <w:tbl>
      <w:tblPr>
        <w:tblStyle w:val="18"/>
        <w:tblW w:w="8528" w:type="dxa"/>
        <w:tblInd w:w="0" w:type="dxa"/>
        <w:tblLayout w:type="fixed"/>
        <w:tblCellMar>
          <w:top w:w="0" w:type="dxa"/>
          <w:left w:w="108" w:type="dxa"/>
          <w:bottom w:w="0" w:type="dxa"/>
          <w:right w:w="108" w:type="dxa"/>
        </w:tblCellMar>
      </w:tblPr>
      <w:tblGrid>
        <w:gridCol w:w="2350"/>
        <w:gridCol w:w="6178"/>
      </w:tblGrid>
      <w:tr>
        <w:tblPrEx>
          <w:tblCellMar>
            <w:top w:w="0" w:type="dxa"/>
            <w:left w:w="108" w:type="dxa"/>
            <w:bottom w:w="0" w:type="dxa"/>
            <w:right w:w="108" w:type="dxa"/>
          </w:tblCellMar>
        </w:tblPrEx>
        <w:trPr>
          <w:trHeight w:val="878" w:hRule="atLeast"/>
          <w:tblHeader/>
        </w:trPr>
        <w:tc>
          <w:tcPr>
            <w:tcW w:w="23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617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绿色建材推荐发展方向</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浈江区</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预制构件</w:t>
            </w:r>
            <w:r>
              <w:rPr>
                <w:rFonts w:hint="eastAsia" w:ascii="Times New Roman" w:hAnsi="Times New Roman" w:eastAsia="宋体" w:cs="Times New Roman"/>
                <w:kern w:val="0"/>
                <w:szCs w:val="21"/>
              </w:rPr>
              <w:t>、干混砂浆</w:t>
            </w:r>
            <w:r>
              <w:rPr>
                <w:rFonts w:ascii="Times New Roman" w:hAnsi="Times New Roman" w:eastAsia="宋体" w:cs="Times New Roman"/>
                <w:kern w:val="0"/>
                <w:szCs w:val="21"/>
              </w:rPr>
              <w:t>、木业家具</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曲江区</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钢结构构件、智能化建筑设备</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武江区</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混凝土预制件、门窗</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乐昌市</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竹木建材、墙面地面、绝热材料、装饰装修等新型建材</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南雄市</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环保涂料、竹木建材</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仁化县</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竹木建材</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始兴县</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竹木建材</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翁源县</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环保涂料</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新丰县</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钢结构构件、新型材料</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乳源瑶族自治县</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铝合金建材</w:t>
            </w:r>
          </w:p>
        </w:tc>
      </w:tr>
    </w:tbl>
    <w:p>
      <w:pPr>
        <w:adjustRightInd w:val="0"/>
        <w:snapToGrid w:val="0"/>
        <w:spacing w:before="156" w:beforeLines="50" w:after="156" w:afterLines="50"/>
        <w:jc w:val="center"/>
        <w:rPr>
          <w:rFonts w:ascii="Times New Roman" w:hAnsi="Times New Roman" w:cs="Times New Roman"/>
          <w:szCs w:val="21"/>
        </w:rPr>
      </w:pPr>
      <w:r>
        <w:rPr>
          <w:rFonts w:ascii="Times New Roman" w:hAnsi="Times New Roman" w:cs="Times New Roman"/>
          <w:szCs w:val="21"/>
        </w:rPr>
        <w:t>表4.5-3 韶关市2025年绿色建材产业总产值预测</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97"/>
        <w:gridCol w:w="54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3097"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5431"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绿色建材产值（单位：亿元）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浈江区</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曲江区</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5.91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武江区</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5.96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乐昌市</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7.35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南雄市</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5.78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仁化县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3.44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始兴县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2.33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翁源县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9.79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新丰县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13.31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乳源县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韶关市</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56.62 </w:t>
            </w:r>
          </w:p>
        </w:tc>
      </w:tr>
    </w:tbl>
    <w:p>
      <w:pPr>
        <w:pStyle w:val="2"/>
        <w:rPr>
          <w:rFonts w:hint="default" w:ascii="Times New Roman" w:hAnsi="Times New Roman" w:cs="Times New Roman"/>
        </w:rPr>
      </w:pPr>
    </w:p>
    <w:p>
      <w:pPr>
        <w:pStyle w:val="26"/>
        <w:spacing w:before="93" w:beforeLines="30" w:after="93" w:afterLines="30" w:line="312" w:lineRule="auto"/>
        <w:ind w:left="0" w:leftChars="0"/>
        <w:rPr>
          <w:rFonts w:eastAsia="宋体" w:cs="Times New Roman"/>
          <w:sz w:val="28"/>
          <w:szCs w:val="28"/>
        </w:rPr>
        <w:sectPr>
          <w:pgSz w:w="11906" w:h="16838"/>
          <w:pgMar w:top="1440" w:right="1797" w:bottom="1440" w:left="1797" w:header="851" w:footer="992" w:gutter="0"/>
          <w:cols w:space="425" w:num="1"/>
          <w:docGrid w:type="lines" w:linePitch="312" w:charSpace="0"/>
        </w:sectPr>
      </w:pPr>
    </w:p>
    <w:p>
      <w:pPr>
        <w:adjustRightInd w:val="0"/>
        <w:snapToGrid w:val="0"/>
        <w:spacing w:before="156" w:beforeLines="50" w:after="156" w:afterLines="50"/>
        <w:jc w:val="center"/>
        <w:rPr>
          <w:rFonts w:eastAsia="宋体" w:cs="Times New Roman"/>
          <w:sz w:val="28"/>
          <w:szCs w:val="28"/>
        </w:rPr>
        <w:sectPr>
          <w:pgSz w:w="16838" w:h="11906" w:orient="landscape"/>
          <w:pgMar w:top="1797" w:right="1440" w:bottom="1797" w:left="1440" w:header="851" w:footer="992" w:gutter="0"/>
          <w:cols w:space="425" w:num="1"/>
          <w:docGrid w:type="lines" w:linePitch="312" w:charSpace="0"/>
        </w:sectPr>
      </w:pPr>
      <w:r>
        <w:rPr>
          <w:rFonts w:ascii="Times New Roman" w:hAnsi="Times New Roman" w:cs="Times New Roman"/>
          <w:szCs w:val="21"/>
        </w:rPr>
        <w:drawing>
          <wp:anchor distT="0" distB="0" distL="114300" distR="114300" simplePos="0" relativeHeight="251661312" behindDoc="0" locked="0" layoutInCell="1" allowOverlap="1">
            <wp:simplePos x="0" y="0"/>
            <wp:positionH relativeFrom="column">
              <wp:posOffset>0</wp:posOffset>
            </wp:positionH>
            <wp:positionV relativeFrom="paragraph">
              <wp:posOffset>-625475</wp:posOffset>
            </wp:positionV>
            <wp:extent cx="9077325" cy="5828665"/>
            <wp:effectExtent l="0" t="0" r="9525" b="635"/>
            <wp:wrapTopAndBottom/>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9077325" cy="5828665"/>
                    </a:xfrm>
                    <a:prstGeom prst="rect">
                      <a:avLst/>
                    </a:prstGeom>
                    <a:noFill/>
                    <a:ln>
                      <a:noFill/>
                    </a:ln>
                  </pic:spPr>
                </pic:pic>
              </a:graphicData>
            </a:graphic>
          </wp:anchor>
        </w:drawing>
      </w:r>
      <w:r>
        <w:rPr>
          <w:rFonts w:ascii="Times New Roman" w:hAnsi="Times New Roman" w:cs="Times New Roman"/>
          <w:szCs w:val="21"/>
        </w:rPr>
        <w:t>图4.5-1  韶关市绿色建材产业布局指引</w:t>
      </w:r>
      <w:r>
        <w:rPr>
          <w:rFonts w:ascii="Times New Roman" w:hAnsi="Times New Roman" w:eastAsia="宋体" w:cs="Times New Roman"/>
          <w:sz w:val="28"/>
          <w:szCs w:val="28"/>
        </w:rPr>
        <w:br w:type="page"/>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为推进</w:t>
      </w:r>
      <w:bookmarkStart w:id="114" w:name="_Hlk109835197"/>
      <w:r>
        <w:rPr>
          <w:rFonts w:ascii="Times New Roman" w:hAnsi="Times New Roman" w:eastAsia="宋体" w:cs="Times New Roman"/>
          <w:sz w:val="28"/>
          <w:szCs w:val="28"/>
        </w:rPr>
        <w:t>韶关市绿色建材产业发展，未来的重点任务</w:t>
      </w:r>
      <w:bookmarkEnd w:id="114"/>
      <w:r>
        <w:rPr>
          <w:rFonts w:ascii="Times New Roman" w:hAnsi="Times New Roman" w:eastAsia="宋体" w:cs="Times New Roman"/>
          <w:sz w:val="28"/>
          <w:szCs w:val="28"/>
        </w:rPr>
        <w:t>如下：（1）推进新型建筑工业化，拉动传统建筑建材产业转型，重点放在高性能混凝土、装配式建筑、高性能玻璃上；（2）开展排放达峰行动，催生节能环保</w:t>
      </w:r>
      <w:r>
        <w:rPr>
          <w:rFonts w:hint="eastAsia" w:ascii="Times New Roman" w:hAnsi="Times New Roman" w:eastAsia="宋体" w:cs="Times New Roman"/>
          <w:sz w:val="28"/>
          <w:szCs w:val="28"/>
          <w:lang w:eastAsia="zh-CN"/>
        </w:rPr>
        <w:t>战略性新兴产业</w:t>
      </w:r>
      <w:r>
        <w:rPr>
          <w:rFonts w:ascii="Times New Roman" w:hAnsi="Times New Roman" w:eastAsia="宋体" w:cs="Times New Roman"/>
          <w:sz w:val="28"/>
          <w:szCs w:val="28"/>
        </w:rPr>
        <w:t>，积极推广光伏等清洁能源、推进废旧进程建材再利用、推进工程机械电动化等；（3）提升建筑绿色健康品质，为高新科技产业开辟应用场景；（4）健全发展机制，促进生产性服务业发展，鼓励开展第三方技术机构绿色建筑预评估，推行绿色金融；（5）协调区域，优化产业链条，充分研究本地企业与邻市企业的协同发展，与珠三角其他地市优势产业积极对接。</w:t>
      </w:r>
    </w:p>
    <w:p>
      <w:pPr>
        <w:adjustRightInd w:val="0"/>
        <w:snapToGrid w:val="0"/>
        <w:spacing w:line="360" w:lineRule="auto"/>
        <w:ind w:firstLine="560" w:firstLineChars="200"/>
        <w:rPr>
          <w:rFonts w:ascii="Times New Roman" w:hAnsi="Times New Roman" w:eastAsia="宋体" w:cs="Times New Roman"/>
          <w:sz w:val="28"/>
          <w:szCs w:val="28"/>
        </w:rPr>
      </w:pPr>
    </w:p>
    <w:p>
      <w:pPr>
        <w:pStyle w:val="26"/>
        <w:spacing w:before="93" w:beforeLines="30" w:after="93" w:afterLines="30" w:line="312" w:lineRule="auto"/>
        <w:ind w:left="0" w:leftChars="0" w:firstLine="560" w:firstLineChars="200"/>
        <w:rPr>
          <w:rFonts w:eastAsia="宋体" w:cs="Times New Roman"/>
          <w:sz w:val="28"/>
          <w:szCs w:val="28"/>
        </w:rPr>
      </w:pPr>
    </w:p>
    <w:p>
      <w:pPr>
        <w:pStyle w:val="3"/>
        <w:rPr>
          <w:rFonts w:ascii="Times New Roman" w:hAnsi="Times New Roman" w:eastAsia="黑体" w:cs="Times New Roman"/>
          <w:sz w:val="32"/>
          <w:szCs w:val="32"/>
        </w:rPr>
        <w:sectPr>
          <w:pgSz w:w="11906" w:h="16838"/>
          <w:pgMar w:top="1440" w:right="1797" w:bottom="1440" w:left="1797" w:header="851" w:footer="992" w:gutter="0"/>
          <w:cols w:space="425" w:num="1"/>
          <w:docGrid w:type="linesAndChars" w:linePitch="312" w:charSpace="0"/>
        </w:sectPr>
      </w:pPr>
      <w:bookmarkStart w:id="115" w:name="_Hlk88582100"/>
    </w:p>
    <w:bookmarkEnd w:id="115"/>
    <w:p>
      <w:pPr>
        <w:pStyle w:val="3"/>
        <w:jc w:val="center"/>
        <w:rPr>
          <w:rFonts w:ascii="Times New Roman" w:hAnsi="Times New Roman" w:eastAsia="黑体" w:cs="Times New Roman"/>
          <w:sz w:val="32"/>
          <w:szCs w:val="32"/>
        </w:rPr>
      </w:pPr>
      <w:bookmarkStart w:id="116" w:name="_Toc116399606"/>
      <w:bookmarkStart w:id="117" w:name="_Toc22999"/>
      <w:bookmarkStart w:id="118" w:name="_Hlk88582153"/>
      <w:r>
        <w:rPr>
          <w:rFonts w:ascii="Times New Roman" w:hAnsi="Times New Roman" w:eastAsia="黑体" w:cs="Times New Roman"/>
          <w:sz w:val="32"/>
          <w:szCs w:val="32"/>
        </w:rPr>
        <w:t>第五章 保障措施</w:t>
      </w:r>
      <w:bookmarkEnd w:id="116"/>
      <w:bookmarkEnd w:id="117"/>
    </w:p>
    <w:bookmarkEnd w:id="118"/>
    <w:p>
      <w:pPr>
        <w:spacing w:after="156" w:afterLines="50"/>
        <w:outlineLvl w:val="1"/>
        <w:rPr>
          <w:rFonts w:ascii="Times New Roman" w:hAnsi="Times New Roman" w:eastAsia="楷体" w:cs="Times New Roman"/>
          <w:b/>
          <w:bCs/>
          <w:sz w:val="30"/>
          <w:szCs w:val="30"/>
        </w:rPr>
      </w:pPr>
      <w:bookmarkStart w:id="119" w:name="_Toc10333"/>
      <w:bookmarkStart w:id="120" w:name="_Toc8979"/>
      <w:bookmarkStart w:id="121" w:name="_Toc15054_WPSOffice_Level2"/>
      <w:bookmarkStart w:id="122" w:name="_Toc564"/>
      <w:bookmarkStart w:id="123" w:name="_Toc116399607"/>
      <w:bookmarkStart w:id="124" w:name="_Toc21452"/>
      <w:r>
        <w:rPr>
          <w:rFonts w:ascii="Times New Roman" w:hAnsi="Times New Roman" w:eastAsia="楷体" w:cs="Times New Roman"/>
          <w:b/>
          <w:bCs/>
          <w:sz w:val="30"/>
          <w:szCs w:val="30"/>
        </w:rPr>
        <w:t xml:space="preserve">5.1 </w:t>
      </w:r>
      <w:bookmarkStart w:id="125" w:name="_Hlk109835323"/>
      <w:r>
        <w:rPr>
          <w:rFonts w:ascii="Times New Roman" w:hAnsi="Times New Roman" w:eastAsia="楷体" w:cs="Times New Roman"/>
          <w:b/>
          <w:bCs/>
          <w:sz w:val="30"/>
          <w:szCs w:val="30"/>
        </w:rPr>
        <w:t>产业扶持政策建设</w:t>
      </w:r>
      <w:bookmarkEnd w:id="119"/>
      <w:bookmarkEnd w:id="120"/>
      <w:bookmarkEnd w:id="121"/>
      <w:bookmarkEnd w:id="122"/>
      <w:bookmarkEnd w:id="123"/>
      <w:bookmarkEnd w:id="124"/>
      <w:bookmarkEnd w:id="125"/>
      <w:r>
        <w:rPr>
          <w:rFonts w:ascii="Times New Roman" w:hAnsi="Times New Roman" w:eastAsia="楷体" w:cs="Times New Roman"/>
          <w:b/>
          <w:bCs/>
          <w:sz w:val="30"/>
          <w:szCs w:val="30"/>
        </w:rPr>
        <w:t xml:space="preserve"> </w:t>
      </w:r>
    </w:p>
    <w:p>
      <w:pPr>
        <w:pStyle w:val="5"/>
        <w:spacing w:before="0" w:after="156" w:afterLines="50" w:line="360" w:lineRule="auto"/>
        <w:rPr>
          <w:rFonts w:ascii="Times New Roman" w:hAnsi="Times New Roman" w:cs="Times New Roman"/>
          <w:sz w:val="28"/>
          <w:szCs w:val="28"/>
        </w:rPr>
      </w:pPr>
      <w:bookmarkStart w:id="126" w:name="_Toc21083_WPSOffice_Level3"/>
      <w:r>
        <w:rPr>
          <w:rFonts w:ascii="Times New Roman" w:hAnsi="Times New Roman" w:cs="Times New Roman"/>
          <w:sz w:val="28"/>
          <w:szCs w:val="28"/>
        </w:rPr>
        <w:t>5.1.1 政策分析</w:t>
      </w:r>
      <w:bookmarkEnd w:id="126"/>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w:t>
      </w:r>
      <w:r>
        <w:rPr>
          <w:rFonts w:hint="eastAsia" w:ascii="Times New Roman" w:hAnsi="Times New Roman" w:eastAsia="宋体" w:cs="Times New Roman"/>
          <w:sz w:val="28"/>
          <w:szCs w:val="28"/>
        </w:rPr>
        <w:t>市住房和城乡建设管理局</w:t>
      </w:r>
      <w:r>
        <w:rPr>
          <w:rFonts w:ascii="Times New Roman" w:hAnsi="Times New Roman" w:eastAsia="宋体" w:cs="Times New Roman"/>
          <w:sz w:val="28"/>
          <w:szCs w:val="28"/>
        </w:rPr>
        <w:t>关于贯彻落实《广东省绿色建筑条例》有关工作的通知，提出2021年1月1日起，全市新建民用建筑应当按照绿色建筑标准进行建设。韶关市政府出台“3+3”战略性支柱产业和战略性新兴产业集群专项行动计划。从长远发展来看，绿色建筑具有较好的经济效益、社会效益和环境效益，将逐步获得市场的认可。绿色建筑除了蕴藏着许多节约能源、节约资金、创造工作机会的经济效益外，绿色建筑是未来低碳生活方式的必经途径。绿色建筑的发展必然带动相关环保材料、可再生能源产业的发展。</w:t>
      </w:r>
    </w:p>
    <w:p>
      <w:pPr>
        <w:pStyle w:val="5"/>
        <w:spacing w:before="0" w:after="156" w:afterLines="50" w:line="360" w:lineRule="auto"/>
        <w:rPr>
          <w:rFonts w:ascii="Times New Roman" w:hAnsi="Times New Roman" w:cs="Times New Roman"/>
          <w:sz w:val="28"/>
          <w:szCs w:val="28"/>
        </w:rPr>
      </w:pPr>
      <w:bookmarkStart w:id="127" w:name="_Toc17512_WPSOffice_Level3"/>
      <w:r>
        <w:rPr>
          <w:rFonts w:ascii="Times New Roman" w:hAnsi="Times New Roman" w:cs="Times New Roman"/>
          <w:sz w:val="28"/>
          <w:szCs w:val="28"/>
        </w:rPr>
        <w:t>5.1.2 政府部门职能分工分析</w:t>
      </w:r>
      <w:bookmarkEnd w:id="127"/>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绿色建筑发展不仅仅依靠住房城乡建设主管部门，更需要住房城乡建设主管部门会同发展改革、自然资源等主管部门在立项、规划阶段明确绿色建筑要求。住房城乡建设主管部门负责本行政区域内绿色建筑发展和相关活动的监督管理工作。自然资源主管部门将绿色建筑纳入控制性详细规划，在国有建设用地使用权出让合同或者国有土地划拨决定书，以及建设工程规划许可证中应当注明绿色建筑等级要求。</w:t>
      </w:r>
    </w:p>
    <w:p>
      <w:pPr>
        <w:pStyle w:val="5"/>
        <w:spacing w:before="0" w:after="156" w:afterLines="50" w:line="360" w:lineRule="auto"/>
        <w:rPr>
          <w:rFonts w:ascii="Times New Roman" w:hAnsi="Times New Roman" w:cs="Times New Roman"/>
          <w:sz w:val="28"/>
          <w:szCs w:val="28"/>
        </w:rPr>
      </w:pPr>
      <w:bookmarkStart w:id="128" w:name="_Toc3123_WPSOffice_Level3"/>
      <w:r>
        <w:rPr>
          <w:rFonts w:ascii="Times New Roman" w:hAnsi="Times New Roman" w:cs="Times New Roman"/>
          <w:sz w:val="28"/>
          <w:szCs w:val="28"/>
        </w:rPr>
        <w:t>5.1.3 政策建议</w:t>
      </w:r>
      <w:bookmarkEnd w:id="128"/>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实施激励政策，创新新机制。一是实行鼓励发展节能建筑、绿色低碳建筑和可再生能源建筑应用的财税政策，扩大财政资金支持节能改造和可再生能源建筑力度。二是实行政府资金补助政策，推进高耗能国家机关和大型公共建筑进行节能改造。三是实行鼓励、支持新型建材生产和应用的产业激励政策。四是推行合同能源管理，培育咨询服务市场，克服绿色低碳建筑新技术推广的市场障碍，促进绿色融资、改造、运行、管理一条龙服务。五是建立绿色低碳建筑投资担保机制，促进绿色低碳建筑技术服务体系的发展。</w:t>
      </w:r>
    </w:p>
    <w:p>
      <w:pPr>
        <w:spacing w:after="156" w:afterLines="50"/>
        <w:outlineLvl w:val="1"/>
        <w:rPr>
          <w:rFonts w:ascii="Times New Roman" w:hAnsi="Times New Roman" w:eastAsia="楷体" w:cs="Times New Roman"/>
          <w:b/>
          <w:bCs/>
          <w:sz w:val="30"/>
          <w:szCs w:val="30"/>
        </w:rPr>
      </w:pPr>
      <w:bookmarkStart w:id="129" w:name="_Toc31838"/>
      <w:bookmarkStart w:id="130" w:name="_Toc30414_WPSOffice_Level2"/>
      <w:bookmarkStart w:id="131" w:name="_Toc25774"/>
      <w:bookmarkStart w:id="132" w:name="_Toc15771"/>
      <w:bookmarkStart w:id="133" w:name="_Toc116399608"/>
      <w:bookmarkStart w:id="134" w:name="_Toc10892"/>
      <w:r>
        <w:rPr>
          <w:rFonts w:ascii="Times New Roman" w:hAnsi="Times New Roman" w:eastAsia="楷体" w:cs="Times New Roman"/>
          <w:b/>
          <w:bCs/>
          <w:sz w:val="30"/>
          <w:szCs w:val="30"/>
        </w:rPr>
        <w:t xml:space="preserve">5.2 </w:t>
      </w:r>
      <w:bookmarkStart w:id="135" w:name="_Hlk109835334"/>
      <w:r>
        <w:rPr>
          <w:rFonts w:ascii="Times New Roman" w:hAnsi="Times New Roman" w:eastAsia="楷体" w:cs="Times New Roman"/>
          <w:b/>
          <w:bCs/>
          <w:sz w:val="30"/>
          <w:szCs w:val="30"/>
        </w:rPr>
        <w:t>基础设施建设</w:t>
      </w:r>
      <w:bookmarkEnd w:id="129"/>
      <w:bookmarkEnd w:id="130"/>
      <w:bookmarkEnd w:id="131"/>
      <w:bookmarkEnd w:id="132"/>
      <w:bookmarkEnd w:id="133"/>
      <w:bookmarkEnd w:id="134"/>
      <w:bookmarkEnd w:id="135"/>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围绕韶关市的绿色发展理念，坚持高标准规划设计，以绿色建筑建设为抓手，加强城乡建设、可再生能源、综合交通、生态、信息物流等领域基础设施建设，加快构建功能完善、管理科学、安全高效的现代基础设施体系，为打造绿色产业集聚地提供坚强有力的支撑。</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推动绿色基础设施建设。进一步完善生态环保合作平台建设，制定落实一系列生态环保合作支持政策，加强生态环保信息支撑；在铁路、</w:t>
      </w:r>
      <w:r>
        <w:fldChar w:fldCharType="begin"/>
      </w:r>
      <w:r>
        <w:instrText xml:space="preserve"> HYPERLINK "http://www.ocn.com.cn/reports/1341dianli.htm" \t "http://www.ocn.com.cn/chanye/201705/_blank" </w:instrText>
      </w:r>
      <w:r>
        <w:fldChar w:fldCharType="separate"/>
      </w:r>
      <w:r>
        <w:rPr>
          <w:rFonts w:ascii="Times New Roman" w:hAnsi="Times New Roman" w:cs="Times New Roman"/>
          <w:sz w:val="28"/>
          <w:szCs w:val="28"/>
        </w:rPr>
        <w:t>电力</w:t>
      </w:r>
      <w:r>
        <w:rPr>
          <w:rFonts w:ascii="Times New Roman" w:hAnsi="Times New Roman" w:cs="Times New Roman"/>
          <w:sz w:val="28"/>
          <w:szCs w:val="28"/>
        </w:rPr>
        <w:fldChar w:fldCharType="end"/>
      </w:r>
      <w:r>
        <w:rPr>
          <w:rFonts w:ascii="Times New Roman" w:hAnsi="Times New Roman" w:cs="Times New Roman"/>
          <w:sz w:val="28"/>
          <w:szCs w:val="28"/>
        </w:rPr>
        <w:t>等重点领域树立一批优质产能绿色品牌，一批绿色金融工具应用于投资贸易项目；建成一批</w:t>
      </w:r>
      <w:r>
        <w:fldChar w:fldCharType="begin"/>
      </w:r>
      <w:r>
        <w:instrText xml:space="preserve"> HYPERLINK "http://www.ocn.com.cn/reports/2006110huanbao.shtml" \t "http://www.ocn.com.cn/chanye/201705/_blank" </w:instrText>
      </w:r>
      <w:r>
        <w:fldChar w:fldCharType="separate"/>
      </w:r>
      <w:r>
        <w:rPr>
          <w:rFonts w:ascii="Times New Roman" w:hAnsi="Times New Roman" w:cs="Times New Roman"/>
          <w:sz w:val="28"/>
          <w:szCs w:val="28"/>
        </w:rPr>
        <w:t>环保产业</w:t>
      </w:r>
      <w:r>
        <w:rPr>
          <w:rFonts w:ascii="Times New Roman" w:hAnsi="Times New Roman" w:cs="Times New Roman"/>
          <w:sz w:val="28"/>
          <w:szCs w:val="28"/>
        </w:rPr>
        <w:fldChar w:fldCharType="end"/>
      </w:r>
      <w:r>
        <w:rPr>
          <w:rFonts w:ascii="Times New Roman" w:hAnsi="Times New Roman" w:cs="Times New Roman"/>
          <w:sz w:val="28"/>
          <w:szCs w:val="28"/>
        </w:rPr>
        <w:t>合作示范基地、环境技术交流与转移基地、技术示范推广基地和科技园区等国际环境产业合作平台。加强生态环保政策沟通，促进国际产能合作与</w:t>
      </w:r>
      <w:r>
        <w:fldChar w:fldCharType="begin"/>
      </w:r>
      <w:r>
        <w:instrText xml:space="preserve"> HYPERLINK "http://www.ocn.com.cn/reports/1343jichusheshi.htm" \t "http://www.ocn.com.cn/chanye/201705/_blank" </w:instrText>
      </w:r>
      <w:r>
        <w:fldChar w:fldCharType="separate"/>
      </w:r>
      <w:r>
        <w:rPr>
          <w:rFonts w:ascii="Times New Roman" w:hAnsi="Times New Roman" w:cs="Times New Roman"/>
          <w:sz w:val="28"/>
          <w:szCs w:val="28"/>
        </w:rPr>
        <w:t>基础设施</w:t>
      </w:r>
      <w:r>
        <w:rPr>
          <w:rFonts w:ascii="Times New Roman" w:hAnsi="Times New Roman" w:cs="Times New Roman"/>
          <w:sz w:val="28"/>
          <w:szCs w:val="28"/>
        </w:rPr>
        <w:fldChar w:fldCharType="end"/>
      </w:r>
      <w:r>
        <w:rPr>
          <w:rFonts w:ascii="Times New Roman" w:hAnsi="Times New Roman" w:cs="Times New Roman"/>
          <w:sz w:val="28"/>
          <w:szCs w:val="28"/>
        </w:rPr>
        <w:t>建设的绿色化，推动可持续生产与消费，发展绿色贸易。加大支撑力度，推动绿色资</w:t>
      </w:r>
      <w:r>
        <w:fldChar w:fldCharType="begin"/>
      </w:r>
      <w:r>
        <w:instrText xml:space="preserve"> HYPERLINK "http://www.ocn.com.cn/2012/1348jinrong.shtml" \t "http://www.ocn.com.cn/chanye/201705/_blank" </w:instrText>
      </w:r>
      <w:r>
        <w:fldChar w:fldCharType="separate"/>
      </w:r>
      <w:r>
        <w:rPr>
          <w:rFonts w:ascii="Times New Roman" w:hAnsi="Times New Roman" w:cs="Times New Roman"/>
          <w:sz w:val="28"/>
          <w:szCs w:val="28"/>
        </w:rPr>
        <w:t>金融</w:t>
      </w:r>
      <w:r>
        <w:rPr>
          <w:rFonts w:ascii="Times New Roman" w:hAnsi="Times New Roman" w:cs="Times New Roman"/>
          <w:sz w:val="28"/>
          <w:szCs w:val="28"/>
        </w:rPr>
        <w:fldChar w:fldCharType="end"/>
      </w:r>
      <w:r>
        <w:rPr>
          <w:rFonts w:ascii="Times New Roman" w:hAnsi="Times New Roman" w:cs="Times New Roman"/>
          <w:sz w:val="28"/>
          <w:szCs w:val="28"/>
        </w:rPr>
        <w:t>通等。推动基础设施绿色低碳化建设和运营管理，落实基础设施建设标准规范的生态环保要求，推广绿色交通、绿色建筑、绿色能源等行业的环保标准和实践，提升基础设施运营、管理和维护过程中的绿色化、低碳化水平。</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引导企业开发使用低碳、节能、环保的材料与技术工艺，推进循环利用，减少在生产、服务和产品使用过程中污染物的产生和排放。以企业为主体，推动环保技术和产业合作，开展环保基础设施建设、环境污染防治和生态修复技术应用试点示范。引导优势环保产业集群式发展，探索合作共建</w:t>
      </w:r>
      <w:r>
        <w:fldChar w:fldCharType="begin"/>
      </w:r>
      <w:r>
        <w:instrText xml:space="preserve"> HYPERLINK "http://www.ocn.com.cn/reports/2006110huanbao.shtml" \t "http://www.ocn.com.cn/chanye/201705/_blank" </w:instrText>
      </w:r>
      <w:r>
        <w:fldChar w:fldCharType="separate"/>
      </w:r>
      <w:r>
        <w:rPr>
          <w:rFonts w:ascii="Times New Roman" w:hAnsi="Times New Roman" w:cs="Times New Roman"/>
          <w:sz w:val="28"/>
          <w:szCs w:val="28"/>
        </w:rPr>
        <w:t>环保产业</w:t>
      </w:r>
      <w:r>
        <w:rPr>
          <w:rFonts w:ascii="Times New Roman" w:hAnsi="Times New Roman" w:cs="Times New Roman"/>
          <w:sz w:val="28"/>
          <w:szCs w:val="28"/>
        </w:rPr>
        <w:fldChar w:fldCharType="end"/>
      </w:r>
      <w:r>
        <w:rPr>
          <w:rFonts w:ascii="Times New Roman" w:hAnsi="Times New Roman" w:cs="Times New Roman"/>
          <w:sz w:val="28"/>
          <w:szCs w:val="28"/>
        </w:rPr>
        <w:t>技术园区及示范基地的创新合作模式。开展沿线国家和地区绿色投融资需求研究，研究制定绿色投融资指南。推动设立专门的资源开发和环境保护基金，重点支持沿线地区生态</w:t>
      </w:r>
      <w:r>
        <w:fldChar w:fldCharType="begin"/>
      </w:r>
      <w:r>
        <w:instrText xml:space="preserve"> HYPERLINK "http://www.ocn.com.cn/2012/1228huanbao.shtml" \t "http://www.ocn.com.cn/chanye/201705/_blank" </w:instrText>
      </w:r>
      <w:r>
        <w:fldChar w:fldCharType="separate"/>
      </w:r>
      <w:r>
        <w:rPr>
          <w:rFonts w:ascii="Times New Roman" w:hAnsi="Times New Roman" w:cs="Times New Roman"/>
          <w:sz w:val="28"/>
          <w:szCs w:val="28"/>
        </w:rPr>
        <w:t>环保</w:t>
      </w:r>
      <w:r>
        <w:rPr>
          <w:rFonts w:ascii="Times New Roman" w:hAnsi="Times New Roman" w:cs="Times New Roman"/>
          <w:sz w:val="28"/>
          <w:szCs w:val="28"/>
        </w:rPr>
        <w:fldChar w:fldCharType="end"/>
      </w:r>
      <w:r>
        <w:fldChar w:fldCharType="begin"/>
      </w:r>
      <w:r>
        <w:instrText xml:space="preserve"> HYPERLINK "http://www.ocn.com.cn/reports/1343jichusheshi.htm" \t "http://www.ocn.com.cn/chanye/201705/_blank" </w:instrText>
      </w:r>
      <w:r>
        <w:fldChar w:fldCharType="separate"/>
      </w:r>
      <w:r>
        <w:rPr>
          <w:rFonts w:ascii="Times New Roman" w:hAnsi="Times New Roman" w:cs="Times New Roman"/>
          <w:sz w:val="28"/>
          <w:szCs w:val="28"/>
        </w:rPr>
        <w:t>基础设施</w:t>
      </w:r>
      <w:r>
        <w:rPr>
          <w:rFonts w:ascii="Times New Roman" w:hAnsi="Times New Roman" w:cs="Times New Roman"/>
          <w:sz w:val="28"/>
          <w:szCs w:val="28"/>
        </w:rPr>
        <w:fldChar w:fldCharType="end"/>
      </w:r>
      <w:r>
        <w:rPr>
          <w:rFonts w:ascii="Times New Roman" w:hAnsi="Times New Roman" w:cs="Times New Roman"/>
          <w:sz w:val="28"/>
          <w:szCs w:val="28"/>
        </w:rPr>
        <w:t>、能力建设和绿色产业发展项目。</w:t>
      </w:r>
    </w:p>
    <w:p>
      <w:pPr>
        <w:spacing w:after="156" w:afterLines="50"/>
        <w:outlineLvl w:val="1"/>
        <w:rPr>
          <w:rFonts w:ascii="Times New Roman" w:hAnsi="Times New Roman" w:eastAsia="楷体" w:cs="Times New Roman"/>
          <w:b/>
          <w:bCs/>
          <w:sz w:val="30"/>
          <w:szCs w:val="30"/>
        </w:rPr>
      </w:pPr>
      <w:bookmarkStart w:id="136" w:name="_Toc116399609"/>
      <w:r>
        <w:rPr>
          <w:rFonts w:ascii="Times New Roman" w:hAnsi="Times New Roman" w:eastAsia="楷体" w:cs="Times New Roman"/>
          <w:b/>
          <w:bCs/>
          <w:sz w:val="30"/>
          <w:szCs w:val="30"/>
        </w:rPr>
        <w:t xml:space="preserve">5.3 </w:t>
      </w:r>
      <w:bookmarkStart w:id="137" w:name="_Hlk109835342"/>
      <w:r>
        <w:rPr>
          <w:rFonts w:ascii="Times New Roman" w:hAnsi="Times New Roman" w:eastAsia="楷体" w:cs="Times New Roman"/>
          <w:b/>
          <w:bCs/>
          <w:sz w:val="30"/>
          <w:szCs w:val="30"/>
        </w:rPr>
        <w:t>生态环境协同发展</w:t>
      </w:r>
      <w:bookmarkEnd w:id="136"/>
      <w:bookmarkEnd w:id="137"/>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5.3.1 基本原则</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坚持源头防治，注重过程管控，严格落实“三同时”制度，进一步加强建材行业清洁生产、节能减排和环保治理水平，加快构建绿色制造体系，有效推进建材工业绿色产品、绿色工厂、绿色园区和绿色供应链全面发展，实现建材工业绿色发展、低碳发展、循环发展。全面推行绿色施工，以“四节一环保”为理念，通过科学管理和技术进步，最大限度地节约资源，减少对环境的负面影响。</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坚持源头控制、严把准入门槛。从严控制产能过剩和低水平重复建设项目，严格行业准入标准，对技术水平低、能源消耗大、环境污染重的企业分期分批加快淘汰，严禁未开展或尚未完成规划环境影响评价的项目进入。</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注重过程治理、加强流程监管。严格执行污染物排放标准，提高环境执法的刚性和权威，强化减排设施运行监管和污染企业的环境监管，完善中控系统建设，实时监控主要生产设备和治污设施。</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强化固体废物安全利用处置。探索推进“无废城市”建设，围绕固体废物源头减量、资源化利用、安全处理处置和环境风险管控，构建企业固体废物管理体系。</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推进清洁生产、发展循环经济。积极推进重点企业的清洁生产，依法对重点排污企业进行分层次、时段的清洁生产审核，鼓励企业采用先进技术装备和生产工艺，加大环保投资比例，严格执行行业清洁生产相关标准，从根本上促进企业全面、稳定达标排放。</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推行绿色施工、实施节能减排。高度重视绿色施工工作，加强绿色施工宣传，培育业内人员绿色施工意识，新开工的工地编制完整的绿色施工专项方案，建立绿色施工现场考评检查制度，加强过程中的实时检查。</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5.3.2 具体措施</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w:t>
      </w:r>
      <w:r>
        <w:rPr>
          <w:rFonts w:ascii="Times New Roman" w:hAnsi="Times New Roman" w:cs="Times New Roman"/>
          <w:sz w:val="28"/>
          <w:szCs w:val="28"/>
        </w:rPr>
        <w:t>1</w:t>
      </w:r>
      <w:r>
        <w:rPr>
          <w:rFonts w:hint="eastAsia" w:ascii="Times New Roman" w:hAnsi="Times New Roman" w:cs="Times New Roman"/>
          <w:sz w:val="28"/>
          <w:szCs w:val="28"/>
        </w:rPr>
        <w:t>）建材生产污染措施</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倡导建材绿色发展，提高人民环保意识。建材产业的客户终端是对装修产生需求的人，因此，需要加大宣传力度，利用报纸、电视、网络自媒体等多种平台，深入贯彻“生态优先”的装修理念，避免出现盲目追赶潮流或奢侈浪费的现象；此外，对于从事建筑的一线工人应该定期培训相关知识，帮助建筑从业人员树立绿色环保的意识，提高线施工人员的施工技术和工艺，从而让我国建筑行业的施工质量不断提升，促使建筑施工当中减少资源浪费和建筑垃圾污染的情况。</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加大部门监管力度。严格执行国家、省的相关法律法规、标准等。建材企业有多且分散的特点，市生态环境局应加大监测力度，严格要求所有企业的排放污染严格控制在国家环保标准内，防止对自然环境造成不良影响，对于污染严重的企业要勒令整顿。</w:t>
      </w:r>
    </w:p>
    <w:p>
      <w:pPr>
        <w:adjustRightInd w:val="0"/>
        <w:snapToGrid w:val="0"/>
        <w:spacing w:line="360" w:lineRule="auto"/>
        <w:ind w:firstLine="560" w:firstLineChars="200"/>
        <w:rPr>
          <w:rFonts w:ascii="Times New Roman" w:hAnsi="Times New Roman" w:cs="Times New Roman"/>
          <w:b/>
          <w:bCs/>
          <w:sz w:val="28"/>
          <w:szCs w:val="28"/>
        </w:rPr>
      </w:pPr>
      <w:r>
        <w:rPr>
          <w:rFonts w:hint="eastAsia" w:ascii="Times New Roman" w:hAnsi="Times New Roman" w:cs="Times New Roman"/>
          <w:sz w:val="28"/>
          <w:szCs w:val="28"/>
        </w:rPr>
        <w:t>出台支持政策，培育企业使命担当。出台资金补贴和政策支持来引导建材企业不断的进行产业升级和技术改进，从而使建材产业由内而外的朝绿色环保方向变革。建材产业覆盖行业广、换代更新速度快，我国环保部门难以全面及时地对每个建材产品做出生产规定和污染限值，可以通过建材产业细分成立的行业协会（如:陶瓷协会、涂料协会、板材协会等）由协会中的代表企业牵头，结合行业实际情况和国内外先进生产经验，制定出相关的生产规定和污染限值，形成完备生产体系。在政府的支持下，让更多的企业承担起自己的使命和担当。</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w:t>
      </w:r>
      <w:r>
        <w:rPr>
          <w:rFonts w:ascii="Times New Roman" w:hAnsi="Times New Roman" w:cs="Times New Roman"/>
          <w:sz w:val="28"/>
          <w:szCs w:val="28"/>
        </w:rPr>
        <w:t>2</w:t>
      </w:r>
      <w:r>
        <w:rPr>
          <w:rFonts w:hint="eastAsia" w:ascii="Times New Roman" w:hAnsi="Times New Roman" w:cs="Times New Roman"/>
          <w:sz w:val="28"/>
          <w:szCs w:val="28"/>
        </w:rPr>
        <w:t>）施工污染措施</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大气污染防治措施：大力推广清洁能源使用。实施锅炉改造，燃煤锅炉改为天然气锅炉，新建锅炉尽量采用天然气锅炉。在破碎、给料运输和其他产生粉尘的环节采用密封性能好、技术先进的生产设备，提高除尘率和粉尘回收率，减轻环境污染。对大面积露天堆场等扬尘场所和出灰、排渣等扬尘环节，进行喷淋润湿，减少扬尘量。钢结构油漆车间和家具油漆车间须设置喷漆房，并配有废气收集处置系统。厂区内及周边栽种花草树木，提高植被覆盖率，减少二次污染。</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建筑施工现场应建立洒水清扫制度，配备喷雾设备降尘，场区及运输道路必须硬化，对裸露地面、集中堆放的土方采用临时绿化、喷浆和隔尘布遮盖等抑尘措施，运送土方、渣土等易产生扬尘的车辆采取封闭或遮盖措施，施工现场设置自动冲洗平台，车辆进出施工现场必须冲洗干净后方可上路，易产生扬尘的施工安装作业采取遮挡、封闭、喷淋、抑尘等措施，易飞扬和细颗粒建筑材料封闭存放，余料及时回收。全面推行工地安装扬尘在线监测系统，提高施工现场污染防控能力和文明施工水平。</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水污染防治措施：实施化学需氧量、氨氮排放总量控制，提升水污染防治水平。严格行业准入、废水排放、取水许可审批，以技术经济可行为依据，对高耗水、高污染项目重点考核，加强废水排放量监督和废水处理设施监管。引导企业向工业园区聚集，加强区域污水处置能力，建设园区污水处理厂和配套管网建设，进行集中式水资源配置和污水治理。鼓励企业优先选择先进节水工艺，建立工业循环用水系统，提高循化水应用率，倡导一水多用，提高水资源循环利用水平，减少废水排放量。</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施工现场道路和材料堆放场地周边设置排水沟，采取基坑封闭降水措施。工程污水和试验室养护用水须经处理达标后排入市政污水管道，雨水、污水设施分流排放管道，生活污水须定期清理。</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噪音污染防治措施：在生产设备选择中，鼓励企业在满足工艺设计的前提下优先选用低噪声设备，并对噪声产生设备采取相应的隔振、减振措施，对使用高噪声设备的工位单独设置隔声室，从源头上控制噪音产生；在厂房建筑设计中，生产车间采取一定的封闭措施，围护结构采用吸声材料；在厂区建筑规划布局时，设置单独的风机间、水泵房，尽量使工作和生活场所远离强噪声源；在园区总体布置时，对各园区企业统筹规划，合理布置，注意防噪间距，加强植树绿化，以降低噪声。</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鼓励施工现场采用先进机械、低噪声设备进行施工，产生噪声较大的机械设备，尽量远离施工现场办公区、生活区和周边住宅区，混凝土输送泵、电锯房等设备应设有吸声降噪屏或其他降噪措施，设置噪声监测点，实施动态监测。</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固体废弃物综合处置：健全固体废物综合管理制度，完善工业固体废物产生、收集、贮存、运输、利用、处置等过程的污染控制措施。全面整治产生固体废物的堆存场所，采取防扬散、防流失、防渗漏等防治措施。提升固体废物处理处置能力，以综合利用废弃物为途径，发展静脉产业，重点推进以粉煤灰、煤矸石、工业副产石膏、建筑垃圾、农林“三剩物”等固废为原料生产砖、砌块、板材、建筑骨料、透水铺装等建材产品，延伸再生金属和再生塑料建材产业链，大力推进精深加工，促进废弃物资源化利用。</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施工现场设置密闭式垃圾站用以堆放建筑垃圾及工程建设产生的废料，严禁随意倾倒，能回收的材料及时进行回收，对工人产生的生活垃圾, 专门堆放, 及时清理, 防止蔓延对周边环境造成破坏。</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夜间施工光污染防治：现场夜间焊接作业时，采取挡光措施，工地设置大型照明灯具时，须配置有防止强光线外泄的措施。</w:t>
      </w:r>
    </w:p>
    <w:p>
      <w:pPr>
        <w:spacing w:after="156" w:afterLines="50"/>
        <w:outlineLvl w:val="1"/>
        <w:rPr>
          <w:rFonts w:ascii="Times New Roman" w:hAnsi="Times New Roman" w:eastAsia="楷体" w:cs="Times New Roman"/>
          <w:b/>
          <w:bCs/>
          <w:sz w:val="30"/>
          <w:szCs w:val="30"/>
        </w:rPr>
      </w:pPr>
      <w:bookmarkStart w:id="138" w:name="_Toc116399610"/>
      <w:bookmarkStart w:id="139" w:name="_Toc25387_WPSOffice_Level2"/>
      <w:bookmarkStart w:id="140" w:name="_Toc2344"/>
      <w:bookmarkStart w:id="141" w:name="_Toc8388"/>
      <w:bookmarkStart w:id="142" w:name="_Toc10910"/>
      <w:bookmarkStart w:id="143" w:name="_Toc29624"/>
      <w:r>
        <w:rPr>
          <w:rFonts w:ascii="Times New Roman" w:hAnsi="Times New Roman" w:eastAsia="楷体" w:cs="Times New Roman"/>
          <w:b/>
          <w:bCs/>
          <w:sz w:val="30"/>
          <w:szCs w:val="30"/>
        </w:rPr>
        <w:t xml:space="preserve">5.4 </w:t>
      </w:r>
      <w:bookmarkStart w:id="144" w:name="_Hlk109835352"/>
      <w:r>
        <w:rPr>
          <w:rFonts w:ascii="Times New Roman" w:hAnsi="Times New Roman" w:eastAsia="楷体" w:cs="Times New Roman"/>
          <w:b/>
          <w:bCs/>
          <w:sz w:val="30"/>
          <w:szCs w:val="30"/>
        </w:rPr>
        <w:t>供给资源要素建设</w:t>
      </w:r>
      <w:bookmarkEnd w:id="138"/>
      <w:bookmarkEnd w:id="139"/>
      <w:bookmarkEnd w:id="140"/>
      <w:bookmarkEnd w:id="141"/>
      <w:bookmarkEnd w:id="142"/>
      <w:bookmarkEnd w:id="143"/>
      <w:bookmarkEnd w:id="144"/>
    </w:p>
    <w:p>
      <w:pPr>
        <w:pStyle w:val="5"/>
        <w:spacing w:before="0" w:after="156" w:afterLines="50" w:line="360" w:lineRule="auto"/>
        <w:rPr>
          <w:rFonts w:ascii="Times New Roman" w:hAnsi="Times New Roman" w:cs="Times New Roman"/>
          <w:sz w:val="28"/>
          <w:szCs w:val="28"/>
        </w:rPr>
      </w:pPr>
      <w:bookmarkStart w:id="145" w:name="_Toc1176_WPSOffice_Level3"/>
      <w:r>
        <w:rPr>
          <w:rFonts w:ascii="Times New Roman" w:hAnsi="Times New Roman" w:cs="Times New Roman"/>
          <w:sz w:val="28"/>
          <w:szCs w:val="28"/>
        </w:rPr>
        <w:t>5.4.1 保障产业用地需求</w:t>
      </w:r>
      <w:bookmarkEnd w:id="145"/>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促进土地用途改变，提高土地利用效率。因规划调整以及产业发展需要，加强工业项目用地管理，保证科技含量高、经济效益好、资源消耗低、环境污染少的项目的用地指标。鼓励市场主体收购零星分散的产业用地，按照规划进行整合开发，整合成一批高质量、高科技的产业园区。在符合产业政策前提下，各县（市、区）在用地计划指标安排中予以倾斜支持。</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优化产业用地基准地价，对确定新建、改建、扩建等的重大项目，的确需调整土地规划的，依法予以调整，并根据需要积极向上级争取用地指标；支持园区优先取得土地权，建设标准厂房招商，引进优势项目，以促进项目快速落地；进一步完善产业园区土地出让、搬迁安置、农民赔偿、失地农民的培训、就业和社保等办法，从根本上解决拆迁难、用地难问题，推进产业园区快速健康发展。对因产业结构调整，搬迁入园的工业企业，其原有用地在符合城市规划的前提下，由政府依法收回土地并按规定处置，所形成的政府土地收益可部分用于支持搬迁企业发展和产业园区建设。</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5.4.2 强化招商引资</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根据韶关本土资源禀赋，对接省内、国内绿色建材优势产业、龙头企业和重点项目，重点招商与建筑节能、绿色建材等相关行业的中国500强企业、国有大型企业集团、龙头民营企业以及专业优势突出的创新成长型企业，优先引进创新型企业和高科技含量、高附加值的创新型项目。</w:t>
      </w:r>
    </w:p>
    <w:p>
      <w:pPr>
        <w:pStyle w:val="5"/>
        <w:spacing w:before="0" w:after="156" w:afterLines="50" w:line="360" w:lineRule="auto"/>
        <w:rPr>
          <w:rFonts w:ascii="Times New Roman" w:hAnsi="Times New Roman" w:cs="Times New Roman"/>
          <w:sz w:val="28"/>
          <w:szCs w:val="28"/>
        </w:rPr>
      </w:pPr>
      <w:bookmarkStart w:id="146" w:name="_Toc3965_WPSOffice_Level3"/>
      <w:r>
        <w:rPr>
          <w:rFonts w:ascii="Times New Roman" w:hAnsi="Times New Roman" w:cs="Times New Roman"/>
          <w:sz w:val="28"/>
          <w:szCs w:val="28"/>
        </w:rPr>
        <w:t>5.4.3 加大财政资金扶持力度</w:t>
      </w:r>
      <w:bookmarkEnd w:id="146"/>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对韶关市缴纳的土地使用权出让金，扣除国家政策规定用途后，用于完善韶关市的基础和配套设施建设</w:t>
      </w:r>
      <w:r>
        <w:rPr>
          <w:rFonts w:hint="eastAsia" w:ascii="Times New Roman" w:hAnsi="Times New Roman" w:cs="Times New Roman"/>
          <w:sz w:val="28"/>
          <w:szCs w:val="28"/>
        </w:rPr>
        <w:t>和相关民生项目</w:t>
      </w:r>
      <w:r>
        <w:rPr>
          <w:rFonts w:ascii="Times New Roman" w:hAnsi="Times New Roman" w:cs="Times New Roman"/>
          <w:sz w:val="28"/>
          <w:szCs w:val="28"/>
        </w:rPr>
        <w:t>。另外，技改、节能、环保治理等各类专项资金应向政策支持的重点产业项目倾斜。加大对企业科技创新的支持，充分发挥财政资金、产业发展基金的杠杆作用，引导优势传统产业和新兴产业加强自主创新及核心技术攻关，增强技术实力，培育更多高新技术企业。发挥财政资金杠杆作用，引导社会资金和金融资本支持绿色建材产业。</w:t>
      </w:r>
    </w:p>
    <w:p>
      <w:pPr>
        <w:pStyle w:val="5"/>
        <w:spacing w:before="0" w:after="156" w:afterLines="50" w:line="360" w:lineRule="auto"/>
        <w:rPr>
          <w:rFonts w:ascii="Times New Roman" w:hAnsi="Times New Roman" w:cs="Times New Roman"/>
          <w:sz w:val="28"/>
          <w:szCs w:val="28"/>
        </w:rPr>
      </w:pPr>
      <w:bookmarkStart w:id="147" w:name="_Toc15054_WPSOffice_Level3"/>
      <w:r>
        <w:rPr>
          <w:rFonts w:ascii="Times New Roman" w:hAnsi="Times New Roman" w:cs="Times New Roman"/>
          <w:sz w:val="28"/>
          <w:szCs w:val="28"/>
        </w:rPr>
        <w:t>5.4.4 探索多种融资方式</w:t>
      </w:r>
      <w:bookmarkEnd w:id="147"/>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构建科技金融服务体系。完善科技创新与创业投资基金、银行信贷、融资担保、科技保险等各种金融方式深度结合的模式和机制，制定实施支持创业投资机构促进创新创业发展的相关政策。通过政府引导、业主开发、市场化运作、产业化经营的模式，调动各类投资主体的积极性，发挥投资对优化供给结构的关键性作用。加强与社会资本合作，采用多元化的投融资模式，探索拓宽投融资渠道，如通过PPP等模式推动投资主体多元化。通过注入财政资金、土地资产、国有企业股权等资金，吸引战略投资者参与建设。</w:t>
      </w:r>
    </w:p>
    <w:p>
      <w:pPr>
        <w:adjustRightInd w:val="0"/>
        <w:snapToGrid w:val="0"/>
        <w:spacing w:line="360" w:lineRule="auto"/>
        <w:rPr>
          <w:rFonts w:ascii="Times New Roman" w:hAnsi="Times New Roman" w:cs="Times New Roman"/>
          <w:sz w:val="28"/>
          <w:szCs w:val="28"/>
        </w:rPr>
      </w:pPr>
    </w:p>
    <w:p>
      <w:pPr>
        <w:spacing w:after="156" w:afterLines="50"/>
        <w:outlineLvl w:val="1"/>
        <w:rPr>
          <w:rFonts w:ascii="Times New Roman" w:hAnsi="Times New Roman" w:eastAsia="楷体" w:cs="Times New Roman"/>
          <w:b/>
          <w:bCs/>
          <w:sz w:val="30"/>
          <w:szCs w:val="30"/>
        </w:rPr>
      </w:pPr>
      <w:bookmarkStart w:id="148" w:name="_Toc1883_WPSOffice_Level2"/>
      <w:bookmarkStart w:id="149" w:name="_Toc22087"/>
      <w:bookmarkStart w:id="150" w:name="_Toc116399611"/>
      <w:bookmarkStart w:id="151" w:name="_Toc26545"/>
      <w:bookmarkStart w:id="152" w:name="_Toc14668"/>
      <w:bookmarkStart w:id="153" w:name="_Toc24639"/>
      <w:r>
        <w:rPr>
          <w:rFonts w:ascii="Times New Roman" w:hAnsi="Times New Roman" w:eastAsia="楷体" w:cs="Times New Roman"/>
          <w:b/>
          <w:bCs/>
          <w:sz w:val="30"/>
          <w:szCs w:val="30"/>
        </w:rPr>
        <w:t xml:space="preserve">5.5 </w:t>
      </w:r>
      <w:bookmarkStart w:id="154" w:name="_Hlk109835362"/>
      <w:r>
        <w:rPr>
          <w:rFonts w:ascii="Times New Roman" w:hAnsi="Times New Roman" w:eastAsia="楷体" w:cs="Times New Roman"/>
          <w:b/>
          <w:bCs/>
          <w:sz w:val="30"/>
          <w:szCs w:val="30"/>
        </w:rPr>
        <w:t>政府公共服务能力建设</w:t>
      </w:r>
      <w:bookmarkEnd w:id="148"/>
      <w:bookmarkEnd w:id="149"/>
      <w:bookmarkEnd w:id="150"/>
      <w:bookmarkEnd w:id="151"/>
      <w:bookmarkEnd w:id="152"/>
      <w:bookmarkEnd w:id="153"/>
    </w:p>
    <w:bookmarkEnd w:id="154"/>
    <w:p>
      <w:pPr>
        <w:pStyle w:val="5"/>
        <w:spacing w:before="0" w:after="156" w:afterLines="50" w:line="360" w:lineRule="auto"/>
        <w:rPr>
          <w:rFonts w:ascii="Times New Roman" w:hAnsi="Times New Roman" w:cs="Times New Roman"/>
          <w:sz w:val="28"/>
          <w:szCs w:val="28"/>
        </w:rPr>
      </w:pPr>
      <w:bookmarkStart w:id="155" w:name="_Toc28265_WPSOffice_Level3"/>
      <w:r>
        <w:rPr>
          <w:rFonts w:ascii="Times New Roman" w:hAnsi="Times New Roman" w:cs="Times New Roman"/>
          <w:sz w:val="28"/>
          <w:szCs w:val="28"/>
        </w:rPr>
        <w:t>5.5.1 强化管理责任</w:t>
      </w:r>
      <w:bookmarkEnd w:id="155"/>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不断完善体制机制改革，各职能部门要树立服务型政府理念，明确行政责任主体意识，开展产业政策、产业发展扶持资金、空间布局规划、基础设施建设等各相关方面统筹工作，把好产业项目准入关、产业项目服务关和产业项目后续监管关。把服务产业项目建设和发展作为部门的重要工作来抓，强化管理，并纳入对部门的绩效考核。运用大数据等科技手段加快数字政府和智慧城市建设，提升政府公职人员科学履职能力，进一步优化政府服务水平。</w:t>
      </w:r>
    </w:p>
    <w:p>
      <w:pPr>
        <w:pStyle w:val="5"/>
        <w:spacing w:before="0" w:after="156" w:afterLines="50" w:line="360" w:lineRule="auto"/>
        <w:rPr>
          <w:rFonts w:ascii="Times New Roman" w:hAnsi="Times New Roman" w:cs="Times New Roman"/>
          <w:sz w:val="28"/>
          <w:szCs w:val="28"/>
        </w:rPr>
      </w:pPr>
      <w:bookmarkStart w:id="156" w:name="_Toc1883_WPSOffice_Level3"/>
      <w:r>
        <w:rPr>
          <w:rFonts w:ascii="Times New Roman" w:hAnsi="Times New Roman" w:cs="Times New Roman"/>
          <w:sz w:val="28"/>
          <w:szCs w:val="28"/>
        </w:rPr>
        <w:t>5.5.2 优化审批程序</w:t>
      </w:r>
      <w:bookmarkEnd w:id="156"/>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深入推进行政审批事项清理工作和部门权责清单制度改革，抓紧抓实“一门式一网式”政务服务模式改革，推进审批流程再造，逐步实现“一门受理、分类审批、限时办结、统一出件”联合审批，为群众和企业提供“一站式受理”、“一条龙服务”，深化营商环境综合改革。加快创新政府管理方式，压实招商引资主体责任，为绿色建材相关企业开展项目建设、环评、融资等提供便利高效服务，营造公平、公正、透明的发展环境。</w:t>
      </w:r>
    </w:p>
    <w:p>
      <w:pPr>
        <w:pStyle w:val="5"/>
        <w:spacing w:before="0" w:after="156" w:afterLines="50" w:line="360" w:lineRule="auto"/>
        <w:rPr>
          <w:rFonts w:ascii="Times New Roman" w:hAnsi="Times New Roman" w:cs="Times New Roman"/>
          <w:sz w:val="28"/>
          <w:szCs w:val="28"/>
        </w:rPr>
      </w:pPr>
      <w:bookmarkStart w:id="157" w:name="_Toc18804_WPSOffice_Level3"/>
      <w:r>
        <w:rPr>
          <w:rFonts w:ascii="Times New Roman" w:hAnsi="Times New Roman" w:cs="Times New Roman"/>
          <w:sz w:val="28"/>
          <w:szCs w:val="28"/>
        </w:rPr>
        <w:t>5.5.3 落实优惠政策</w:t>
      </w:r>
      <w:bookmarkEnd w:id="157"/>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找准产业优势与国家政策的结合点，形成完善的政策支持体系，充分把政策优惠效应落实到具体产业和项目上。用足、用活现有政策，积极对接省市部门，进一步细化省市政府现有支持优惠政策，制定符合产业发展需要的财政、税收、金融、投资、产业、土地、人才等方面的配套政策，为促进产业发展创造良好的政策环境。</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5.5.4 强化平台建设</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利用政府网站、新闻媒体等，加大宣传推广力度，构筑招商服务平台，营造良好的招商社会氛围。支持行业协会、学会等行业组织，充分发挥桥梁纽带作用，完善公共服务平台，协调组建行业交流及跨界协作平台，提升调研分析、成果评价、技术指导、标准培训能力等，促进韶关市传统建材企业向绿色建材转型升级。协调推进产业链协同创新，促进核心技术整体提升。</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5.5.5 规范市场秩序</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营造良好市场秩序，运用政策引导、执法监督等手段，落实知识产权保护制度，打击侵权假冒、以次充好等不良行为，为企业营造良好的生产经营和研发环境。强化绿色建材产品质量管理，对质量违法等不良行为的企业和个人纳入“黑名单”。</w:t>
      </w:r>
    </w:p>
    <w:p>
      <w:pPr>
        <w:adjustRightInd w:val="0"/>
        <w:snapToGrid w:val="0"/>
        <w:spacing w:line="360" w:lineRule="auto"/>
        <w:ind w:firstLine="560" w:firstLineChars="200"/>
        <w:rPr>
          <w:rFonts w:ascii="Times New Roman" w:hAnsi="Times New Roman" w:cs="Times New Roman"/>
          <w:sz w:val="28"/>
          <w:szCs w:val="28"/>
        </w:rPr>
      </w:pPr>
    </w:p>
    <w:p>
      <w:pPr>
        <w:adjustRightInd w:val="0"/>
        <w:snapToGrid w:val="0"/>
        <w:spacing w:line="360" w:lineRule="auto"/>
        <w:ind w:firstLine="560" w:firstLineChars="200"/>
        <w:rPr>
          <w:rFonts w:ascii="Times New Roman" w:hAnsi="Times New Roman" w:cs="Times New Roman"/>
          <w:sz w:val="28"/>
          <w:szCs w:val="28"/>
        </w:rPr>
      </w:pPr>
    </w:p>
    <w:p>
      <w:pPr>
        <w:adjustRightInd w:val="0"/>
        <w:snapToGrid w:val="0"/>
        <w:spacing w:line="360" w:lineRule="auto"/>
        <w:ind w:firstLine="560" w:firstLineChars="200"/>
        <w:rPr>
          <w:rFonts w:ascii="Times New Roman" w:hAnsi="Times New Roman" w:cs="Times New Roman"/>
          <w:sz w:val="28"/>
          <w:szCs w:val="28"/>
        </w:rPr>
      </w:pPr>
    </w:p>
    <w:p>
      <w:pPr>
        <w:widowControl/>
        <w:jc w:val="left"/>
        <w:rPr>
          <w:rFonts w:ascii="Times New Roman" w:hAnsi="Times New Roman" w:cs="Times New Roman"/>
          <w:b/>
          <w:kern w:val="44"/>
          <w:sz w:val="44"/>
        </w:rPr>
      </w:pPr>
      <w:r>
        <w:rPr>
          <w:rFonts w:ascii="Times New Roman" w:hAnsi="Times New Roman" w:cs="Times New Roman"/>
        </w:rPr>
        <w:br w:type="page"/>
      </w:r>
    </w:p>
    <w:p>
      <w:pPr>
        <w:pStyle w:val="3"/>
        <w:jc w:val="center"/>
        <w:rPr>
          <w:rFonts w:ascii="Times New Roman" w:hAnsi="Times New Roman" w:eastAsia="黑体" w:cs="Times New Roman"/>
          <w:sz w:val="32"/>
          <w:szCs w:val="32"/>
        </w:rPr>
      </w:pPr>
      <w:bookmarkStart w:id="158" w:name="_Toc116399612"/>
      <w:r>
        <w:rPr>
          <w:rFonts w:ascii="Times New Roman" w:hAnsi="Times New Roman" w:eastAsia="黑体" w:cs="Times New Roman"/>
          <w:sz w:val="32"/>
          <w:szCs w:val="32"/>
        </w:rPr>
        <w:t xml:space="preserve">第六章  </w:t>
      </w:r>
      <w:r>
        <w:rPr>
          <w:rFonts w:hint="eastAsia" w:ascii="Times New Roman" w:hAnsi="Times New Roman" w:eastAsia="黑体" w:cs="Times New Roman"/>
          <w:sz w:val="32"/>
          <w:szCs w:val="32"/>
        </w:rPr>
        <w:t>结论与规划建议</w:t>
      </w:r>
      <w:bookmarkEnd w:id="158"/>
    </w:p>
    <w:p>
      <w:pPr>
        <w:spacing w:after="156" w:afterLines="50" w:line="360" w:lineRule="auto"/>
        <w:rPr>
          <w:rFonts w:ascii="楷体" w:hAnsi="楷体" w:eastAsia="楷体" w:cs="楷体"/>
          <w:b/>
          <w:bCs/>
          <w:sz w:val="30"/>
          <w:szCs w:val="30"/>
        </w:rPr>
      </w:pPr>
      <w:r>
        <w:rPr>
          <w:rFonts w:hint="eastAsia" w:ascii="楷体" w:hAnsi="楷体" w:eastAsia="楷体" w:cs="楷体"/>
          <w:b/>
          <w:bCs/>
          <w:sz w:val="30"/>
          <w:szCs w:val="30"/>
        </w:rPr>
        <w:t>一、发展基础</w:t>
      </w:r>
    </w:p>
    <w:p>
      <w:p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我国绿色建筑与绿色建材前景广阔。</w:t>
      </w:r>
      <w:r>
        <w:rPr>
          <w:rFonts w:hint="eastAsia" w:ascii="Times New Roman" w:hAnsi="Times New Roman" w:eastAsia="宋体" w:cs="Times New Roman"/>
          <w:sz w:val="28"/>
          <w:szCs w:val="28"/>
        </w:rPr>
        <w:t>随着绿色发展理念的深入贯彻，城乡建设领域绿色发展的持续推进，绿色建筑、装配式建筑等增量提质不断深化，绿色建材必将得到进一步推广。绿色建材的推广发展同时也是建筑产业转型升级、拉动经济增长的重要手段与任务。</w:t>
      </w:r>
    </w:p>
    <w:p>
      <w:p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绿色建材需求旺盛。</w:t>
      </w:r>
      <w:r>
        <w:rPr>
          <w:rFonts w:hint="eastAsia" w:ascii="Times New Roman" w:hAnsi="Times New Roman" w:eastAsia="宋体" w:cs="Times New Roman"/>
          <w:sz w:val="28"/>
          <w:szCs w:val="28"/>
        </w:rPr>
        <w:t>国家和广东省均提出到2</w:t>
      </w:r>
      <w:r>
        <w:rPr>
          <w:rFonts w:ascii="Times New Roman" w:hAnsi="Times New Roman" w:eastAsia="宋体" w:cs="Times New Roman"/>
          <w:sz w:val="28"/>
          <w:szCs w:val="28"/>
        </w:rPr>
        <w:t>025</w:t>
      </w:r>
      <w:r>
        <w:rPr>
          <w:rFonts w:hint="eastAsia" w:ascii="Times New Roman" w:hAnsi="Times New Roman" w:eastAsia="宋体" w:cs="Times New Roman"/>
          <w:sz w:val="28"/>
          <w:szCs w:val="28"/>
        </w:rPr>
        <w:t>年，城镇新建建筑全面建设绿色建筑，以装配式建筑为代表的新型建筑工业化加快发展；在增长情境下，到2</w:t>
      </w:r>
      <w:r>
        <w:rPr>
          <w:rFonts w:ascii="Times New Roman" w:hAnsi="Times New Roman" w:eastAsia="宋体" w:cs="Times New Roman"/>
          <w:sz w:val="28"/>
          <w:szCs w:val="28"/>
        </w:rPr>
        <w:t>025</w:t>
      </w:r>
      <w:r>
        <w:rPr>
          <w:rFonts w:hint="eastAsia" w:ascii="Times New Roman" w:hAnsi="Times New Roman" w:eastAsia="宋体" w:cs="Times New Roman"/>
          <w:sz w:val="28"/>
          <w:szCs w:val="28"/>
        </w:rPr>
        <w:t>年，韶关市新开工绿色建筑面积可到</w:t>
      </w:r>
      <w:r>
        <w:rPr>
          <w:rFonts w:ascii="Times New Roman" w:hAnsi="Times New Roman" w:eastAsia="宋体" w:cs="Times New Roman"/>
          <w:sz w:val="28"/>
          <w:szCs w:val="28"/>
        </w:rPr>
        <w:t>583.60</w:t>
      </w:r>
      <w:r>
        <w:rPr>
          <w:rFonts w:hint="eastAsia" w:ascii="Times New Roman" w:hAnsi="Times New Roman" w:eastAsia="宋体" w:cs="Times New Roman"/>
          <w:sz w:val="28"/>
          <w:szCs w:val="28"/>
        </w:rPr>
        <w:t>万㎡以上，装配式建筑总面积可达</w:t>
      </w:r>
      <w:r>
        <w:rPr>
          <w:rFonts w:ascii="Times New Roman" w:hAnsi="Times New Roman" w:eastAsia="宋体" w:cs="Times New Roman"/>
          <w:sz w:val="28"/>
          <w:szCs w:val="28"/>
        </w:rPr>
        <w:t>116.72</w:t>
      </w:r>
      <w:r>
        <w:rPr>
          <w:rFonts w:hint="eastAsia" w:ascii="Times New Roman" w:hAnsi="Times New Roman" w:eastAsia="宋体" w:cs="Times New Roman"/>
          <w:sz w:val="28"/>
          <w:szCs w:val="28"/>
        </w:rPr>
        <w:t>万㎡以上，预计预制构件需求量</w:t>
      </w:r>
      <w:r>
        <w:rPr>
          <w:rFonts w:ascii="Times New Roman" w:hAnsi="Times New Roman" w:eastAsia="宋体" w:cs="Times New Roman"/>
          <w:sz w:val="28"/>
          <w:szCs w:val="28"/>
        </w:rPr>
        <w:t>24.51</w:t>
      </w:r>
      <w:r>
        <w:rPr>
          <w:rFonts w:hint="eastAsia" w:ascii="Times New Roman" w:hAnsi="Times New Roman" w:eastAsia="宋体" w:cs="Times New Roman"/>
          <w:sz w:val="28"/>
          <w:szCs w:val="28"/>
        </w:rPr>
        <w:t>万m³以上，加之周边300公里范围内的省内珠三角地区、彬州市、衡阳市、赣州等地市的建设需求，绿色建材市场潜力巨大。</w:t>
      </w:r>
    </w:p>
    <w:p>
      <w:pPr>
        <w:snapToGrid w:val="0"/>
        <w:spacing w:line="360" w:lineRule="auto"/>
        <w:ind w:firstLine="560" w:firstLineChars="200"/>
        <w:rPr>
          <w:rFonts w:ascii="Times New Roman" w:hAnsi="Times New Roman" w:eastAsia="宋体" w:cs="Times New Roman"/>
          <w:sz w:val="28"/>
          <w:szCs w:val="28"/>
        </w:rPr>
      </w:pPr>
      <w:r>
        <w:rPr>
          <w:rFonts w:ascii="Times New Roman" w:hAnsi="Times New Roman" w:cs="Times New Roman"/>
          <w:b/>
          <w:bCs/>
          <w:sz w:val="28"/>
          <w:szCs w:val="28"/>
        </w:rPr>
        <w:t>韶关市具有较好绿色建材发展基础。</w:t>
      </w:r>
      <w:r>
        <w:rPr>
          <w:rFonts w:ascii="Times New Roman" w:hAnsi="Times New Roman" w:eastAsia="宋体" w:cs="Times New Roman"/>
          <w:sz w:val="28"/>
          <w:szCs w:val="28"/>
        </w:rPr>
        <w:t>韶关</w:t>
      </w:r>
      <w:r>
        <w:rPr>
          <w:rFonts w:hint="eastAsia" w:ascii="Times New Roman" w:hAnsi="Times New Roman" w:eastAsia="宋体" w:cs="Times New Roman"/>
          <w:sz w:val="28"/>
          <w:szCs w:val="28"/>
        </w:rPr>
        <w:t>位处粤湘赣三省交界，交通便利，有利建材的运输与销售；韶关拥</w:t>
      </w:r>
      <w:r>
        <w:rPr>
          <w:rFonts w:ascii="Times New Roman" w:hAnsi="Times New Roman" w:eastAsia="宋体" w:cs="Times New Roman"/>
          <w:sz w:val="28"/>
          <w:szCs w:val="28"/>
        </w:rPr>
        <w:t>有丰富的钢铁、矿产、竹木等资源，在先进装备制造、钢铁深加工等方面具有一定</w:t>
      </w:r>
      <w:r>
        <w:rPr>
          <w:rFonts w:hint="eastAsia" w:ascii="Times New Roman" w:hAnsi="Times New Roman" w:eastAsia="宋体" w:cs="Times New Roman"/>
          <w:sz w:val="28"/>
          <w:szCs w:val="28"/>
        </w:rPr>
        <w:t>的</w:t>
      </w:r>
      <w:r>
        <w:rPr>
          <w:rFonts w:ascii="Times New Roman" w:hAnsi="Times New Roman" w:eastAsia="宋体" w:cs="Times New Roman"/>
          <w:sz w:val="28"/>
          <w:szCs w:val="28"/>
        </w:rPr>
        <w:t>优势。</w:t>
      </w:r>
      <w:r>
        <w:rPr>
          <w:rFonts w:hint="eastAsia" w:ascii="Times New Roman" w:hAnsi="Times New Roman" w:eastAsia="宋体" w:cs="Times New Roman"/>
          <w:sz w:val="28"/>
          <w:szCs w:val="28"/>
        </w:rPr>
        <w:t>韶关正大力推进光伏工作，武江区、始兴县、南雄市已被国家能源局列为屋顶分布式光伏开发试点单位。韶关市</w:t>
      </w:r>
      <w:r>
        <w:rPr>
          <w:rFonts w:ascii="Times New Roman" w:hAnsi="Times New Roman" w:eastAsia="宋体" w:cs="Times New Roman"/>
          <w:sz w:val="28"/>
          <w:szCs w:val="28"/>
        </w:rPr>
        <w:t>现有建材企业约136家，其中预拌混凝土、预拌砂浆企业数量最多</w:t>
      </w:r>
      <w:r>
        <w:rPr>
          <w:rFonts w:hint="eastAsia" w:ascii="Times New Roman" w:hAnsi="Times New Roman" w:eastAsia="宋体" w:cs="Times New Roman"/>
          <w:sz w:val="28"/>
          <w:szCs w:val="28"/>
        </w:rPr>
        <w:t>；在装配式建筑方面，华南装备园、新丰回龙工业园等部分园区已引进钢结构构件生产企业；南雄市、翁源县的涂料产业已形成一定规模；乐昌市、仁化县等具有丰富的森林资源，但在竹木建材方面仍有很大的发展空间。</w:t>
      </w:r>
    </w:p>
    <w:p>
      <w:p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韶关的建材产业还有很大的发展空间。</w:t>
      </w:r>
      <w:r>
        <w:rPr>
          <w:rFonts w:ascii="Times New Roman" w:hAnsi="Times New Roman" w:eastAsia="宋体" w:cs="Times New Roman"/>
          <w:sz w:val="28"/>
          <w:szCs w:val="28"/>
        </w:rPr>
        <w:t>建材产业布局有待进一步完善、关键核心技术水平和高端产品有待进一步提高、骨干企业竞争力有待进一步</w:t>
      </w:r>
      <w:r>
        <w:rPr>
          <w:rFonts w:hint="eastAsia" w:ascii="Times New Roman" w:hAnsi="Times New Roman" w:eastAsia="宋体" w:cs="Times New Roman"/>
          <w:sz w:val="28"/>
          <w:szCs w:val="28"/>
        </w:rPr>
        <w:t>提升</w:t>
      </w:r>
      <w:r>
        <w:rPr>
          <w:rFonts w:ascii="Times New Roman" w:hAnsi="Times New Roman" w:eastAsia="宋体" w:cs="Times New Roman"/>
          <w:sz w:val="28"/>
          <w:szCs w:val="28"/>
        </w:rPr>
        <w:t>、产业创新能力有待进一步</w:t>
      </w:r>
      <w:r>
        <w:rPr>
          <w:rFonts w:hint="eastAsia" w:ascii="Times New Roman" w:hAnsi="Times New Roman" w:eastAsia="宋体" w:cs="Times New Roman"/>
          <w:sz w:val="28"/>
          <w:szCs w:val="28"/>
        </w:rPr>
        <w:t>增强</w:t>
      </w:r>
      <w:r>
        <w:rPr>
          <w:rFonts w:ascii="Times New Roman" w:hAnsi="Times New Roman" w:eastAsia="宋体" w:cs="Times New Roman"/>
          <w:sz w:val="28"/>
          <w:szCs w:val="28"/>
        </w:rPr>
        <w:t>。</w:t>
      </w:r>
      <w:r>
        <w:rPr>
          <w:rFonts w:hint="eastAsia" w:ascii="Times New Roman" w:hAnsi="Times New Roman" w:eastAsia="宋体" w:cs="Times New Roman"/>
          <w:sz w:val="28"/>
          <w:szCs w:val="28"/>
        </w:rPr>
        <w:t>在</w:t>
      </w:r>
      <w:r>
        <w:rPr>
          <w:rFonts w:ascii="Times New Roman" w:hAnsi="Times New Roman" w:eastAsia="宋体" w:cs="Times New Roman"/>
          <w:sz w:val="28"/>
          <w:szCs w:val="28"/>
        </w:rPr>
        <w:t>交通</w:t>
      </w:r>
      <w:r>
        <w:rPr>
          <w:rFonts w:hint="eastAsia" w:ascii="Times New Roman" w:hAnsi="Times New Roman" w:eastAsia="宋体" w:cs="Times New Roman"/>
          <w:sz w:val="28"/>
          <w:szCs w:val="28"/>
        </w:rPr>
        <w:t>物流方面</w:t>
      </w:r>
      <w:r>
        <w:rPr>
          <w:rFonts w:ascii="Times New Roman" w:hAnsi="Times New Roman" w:eastAsia="宋体" w:cs="Times New Roman"/>
          <w:sz w:val="28"/>
          <w:szCs w:val="28"/>
        </w:rPr>
        <w:t>仍</w:t>
      </w:r>
      <w:r>
        <w:rPr>
          <w:rFonts w:hint="eastAsia" w:ascii="Times New Roman" w:hAnsi="Times New Roman" w:eastAsia="宋体" w:cs="Times New Roman"/>
          <w:sz w:val="28"/>
          <w:szCs w:val="28"/>
        </w:rPr>
        <w:t>存在发展空间</w:t>
      </w:r>
      <w:r>
        <w:rPr>
          <w:rFonts w:ascii="Times New Roman" w:hAnsi="Times New Roman" w:eastAsia="宋体" w:cs="Times New Roman"/>
          <w:sz w:val="28"/>
          <w:szCs w:val="28"/>
        </w:rPr>
        <w:t>，如水陆联运的“最后一公里”问题</w:t>
      </w:r>
      <w:r>
        <w:rPr>
          <w:rFonts w:hint="eastAsia" w:ascii="Times New Roman" w:hAnsi="Times New Roman" w:eastAsia="宋体" w:cs="Times New Roman"/>
          <w:sz w:val="28"/>
          <w:szCs w:val="28"/>
        </w:rPr>
        <w:t>尚未得到</w:t>
      </w:r>
      <w:r>
        <w:rPr>
          <w:rFonts w:ascii="Times New Roman" w:hAnsi="Times New Roman" w:eastAsia="宋体" w:cs="Times New Roman"/>
          <w:sz w:val="28"/>
          <w:szCs w:val="28"/>
        </w:rPr>
        <w:t>解决</w:t>
      </w:r>
      <w:r>
        <w:rPr>
          <w:rFonts w:hint="eastAsia" w:ascii="Times New Roman" w:hAnsi="Times New Roman" w:eastAsia="宋体" w:cs="Times New Roman"/>
          <w:sz w:val="28"/>
          <w:szCs w:val="28"/>
        </w:rPr>
        <w:t>、</w:t>
      </w:r>
      <w:r>
        <w:rPr>
          <w:rFonts w:ascii="Times New Roman" w:hAnsi="Times New Roman" w:eastAsia="宋体" w:cs="Times New Roman"/>
          <w:sz w:val="28"/>
          <w:szCs w:val="28"/>
        </w:rPr>
        <w:t>韶关市商贸物流服务体系及服务网络</w:t>
      </w:r>
      <w:r>
        <w:rPr>
          <w:rFonts w:hint="eastAsia" w:ascii="Times New Roman" w:hAnsi="Times New Roman" w:eastAsia="宋体" w:cs="Times New Roman"/>
          <w:sz w:val="28"/>
          <w:szCs w:val="28"/>
        </w:rPr>
        <w:t>仍不够</w:t>
      </w:r>
      <w:r>
        <w:rPr>
          <w:rFonts w:ascii="Times New Roman" w:hAnsi="Times New Roman" w:eastAsia="宋体" w:cs="Times New Roman"/>
          <w:sz w:val="28"/>
          <w:szCs w:val="28"/>
        </w:rPr>
        <w:t>完善</w:t>
      </w:r>
      <w:r>
        <w:rPr>
          <w:rFonts w:hint="eastAsia" w:ascii="Times New Roman" w:hAnsi="Times New Roman" w:eastAsia="宋体" w:cs="Times New Roman"/>
          <w:sz w:val="28"/>
          <w:szCs w:val="28"/>
        </w:rPr>
        <w:t>等</w:t>
      </w:r>
      <w:r>
        <w:rPr>
          <w:rFonts w:ascii="Times New Roman" w:hAnsi="Times New Roman" w:eastAsia="宋体" w:cs="Times New Roman"/>
          <w:sz w:val="28"/>
          <w:szCs w:val="28"/>
        </w:rPr>
        <w:t>，</w:t>
      </w:r>
      <w:r>
        <w:rPr>
          <w:rFonts w:hint="eastAsia" w:ascii="Times New Roman" w:hAnsi="Times New Roman" w:eastAsia="宋体" w:cs="Times New Roman"/>
          <w:sz w:val="28"/>
          <w:szCs w:val="28"/>
        </w:rPr>
        <w:t>交通物流的完善有利于</w:t>
      </w:r>
      <w:r>
        <w:rPr>
          <w:rFonts w:ascii="Times New Roman" w:hAnsi="Times New Roman" w:eastAsia="宋体" w:cs="Times New Roman"/>
          <w:sz w:val="28"/>
          <w:szCs w:val="28"/>
        </w:rPr>
        <w:t>进一步提升韶关市在粤北地区枢纽地位，以便建材等产品进一步打开省内和湖南、江西的市场。</w:t>
      </w:r>
    </w:p>
    <w:p>
      <w:pPr>
        <w:spacing w:after="156" w:afterLines="50" w:line="360" w:lineRule="auto"/>
        <w:rPr>
          <w:rFonts w:ascii="楷体" w:hAnsi="楷体" w:eastAsia="楷体" w:cs="楷体"/>
          <w:b/>
          <w:bCs/>
          <w:sz w:val="30"/>
          <w:szCs w:val="30"/>
        </w:rPr>
      </w:pPr>
      <w:r>
        <w:rPr>
          <w:rFonts w:hint="eastAsia" w:ascii="楷体" w:hAnsi="楷体" w:eastAsia="楷体" w:cs="楷体"/>
          <w:b/>
          <w:bCs/>
          <w:sz w:val="30"/>
          <w:szCs w:val="30"/>
        </w:rPr>
        <w:t>二、发展定位与目标建议</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考虑韶关区位优势和城市发展定位，本规划研究建议将韶关打造装配式建筑材料为重点、绿色建材为特色的粤北地区新型建材生产中心。</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按照“十四五”期末，韶关市新建民用建筑全面按照绿色建筑标准进行建设、星级绿色建筑比例超过30%、装配式建筑比例达到20%以上，预期到2025年，韶关市绿色建材应用比例大幅提升，绿色建材产业链完善程度及产业集聚水平持续增强，质量效益显著提升、创新能力不断提高，绿色建材产业产值</w:t>
      </w:r>
      <w:bookmarkStart w:id="159" w:name="_Hlk112418577"/>
      <w:r>
        <w:rPr>
          <w:rFonts w:ascii="Times New Roman" w:hAnsi="Times New Roman" w:cs="Times New Roman"/>
          <w:sz w:val="28"/>
          <w:szCs w:val="28"/>
        </w:rPr>
        <w:t>有望达到</w:t>
      </w:r>
      <w:r>
        <w:rPr>
          <w:rFonts w:hint="default" w:ascii="Times New Roman" w:hAnsi="Times New Roman" w:cs="Times New Roman"/>
          <w:sz w:val="28"/>
          <w:szCs w:val="28"/>
        </w:rPr>
        <w:t>56</w:t>
      </w:r>
      <w:r>
        <w:rPr>
          <w:rFonts w:ascii="Times New Roman" w:hAnsi="Times New Roman" w:cs="Times New Roman"/>
          <w:sz w:val="28"/>
          <w:szCs w:val="28"/>
        </w:rPr>
        <w:t>亿元</w:t>
      </w:r>
      <w:bookmarkEnd w:id="159"/>
      <w:r>
        <w:rPr>
          <w:rFonts w:ascii="Times New Roman" w:hAnsi="Times New Roman" w:cs="Times New Roman"/>
          <w:sz w:val="28"/>
          <w:szCs w:val="28"/>
        </w:rPr>
        <w:t>以上。</w:t>
      </w:r>
    </w:p>
    <w:p>
      <w:pPr>
        <w:spacing w:after="156" w:afterLines="50" w:line="360" w:lineRule="auto"/>
        <w:rPr>
          <w:rFonts w:ascii="楷体" w:hAnsi="楷体" w:eastAsia="楷体" w:cs="楷体"/>
          <w:b/>
          <w:bCs/>
          <w:sz w:val="30"/>
          <w:szCs w:val="30"/>
        </w:rPr>
      </w:pPr>
      <w:r>
        <w:rPr>
          <w:rFonts w:hint="eastAsia" w:ascii="楷体" w:hAnsi="楷体" w:eastAsia="楷体" w:cs="楷体"/>
          <w:b/>
          <w:bCs/>
          <w:sz w:val="30"/>
          <w:szCs w:val="30"/>
        </w:rPr>
        <w:t>三、产业与区域发展策略</w:t>
      </w:r>
    </w:p>
    <w:p>
      <w:p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韶关绿色建材产业发展思路应凸显韶关市在钢铁、矿产、水泥熟料、森林等方面的原材料优势和钢铁深加工、竹材木材深加工的优势，扩大新型、绿色建材生产和应用，鼓励韶关市传统建材企业转型升级。配套建材环聚，带动建筑板材、管材、合金门窗、幕墙、建筑陶瓷等配套环节集聚。预期“十四五”期间韶关市在绿色建材产业投入4</w:t>
      </w:r>
      <w:r>
        <w:rPr>
          <w:rFonts w:ascii="Times New Roman" w:hAnsi="Times New Roman" w:eastAsia="宋体" w:cs="Times New Roman"/>
          <w:sz w:val="28"/>
          <w:szCs w:val="28"/>
        </w:rPr>
        <w:t>3.2</w:t>
      </w:r>
      <w:r>
        <w:rPr>
          <w:rFonts w:hint="eastAsia" w:ascii="Times New Roman" w:hAnsi="Times New Roman" w:eastAsia="宋体" w:cs="Times New Roman"/>
          <w:sz w:val="28"/>
          <w:szCs w:val="28"/>
        </w:rPr>
        <w:t>亿元；到2</w:t>
      </w:r>
      <w:r>
        <w:rPr>
          <w:rFonts w:ascii="Times New Roman" w:hAnsi="Times New Roman" w:eastAsia="宋体" w:cs="Times New Roman"/>
          <w:sz w:val="28"/>
          <w:szCs w:val="28"/>
        </w:rPr>
        <w:t>025</w:t>
      </w:r>
      <w:r>
        <w:rPr>
          <w:rFonts w:hint="eastAsia" w:ascii="Times New Roman" w:hAnsi="Times New Roman" w:eastAsia="宋体" w:cs="Times New Roman"/>
          <w:sz w:val="28"/>
          <w:szCs w:val="28"/>
        </w:rPr>
        <w:t>年，绿色建材年产出有望达到</w:t>
      </w:r>
      <w:r>
        <w:rPr>
          <w:rFonts w:ascii="Times New Roman" w:hAnsi="Times New Roman" w:eastAsia="宋体" w:cs="Times New Roman"/>
          <w:sz w:val="28"/>
          <w:szCs w:val="28"/>
        </w:rPr>
        <w:t>17.8</w:t>
      </w:r>
      <w:r>
        <w:rPr>
          <w:rFonts w:hint="eastAsia" w:ascii="Times New Roman" w:hAnsi="Times New Roman" w:eastAsia="宋体" w:cs="Times New Roman"/>
          <w:sz w:val="28"/>
          <w:szCs w:val="28"/>
        </w:rPr>
        <w:t>亿元。</w:t>
      </w:r>
    </w:p>
    <w:p>
      <w:p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综合考虑</w:t>
      </w:r>
      <w:r>
        <w:rPr>
          <w:rFonts w:ascii="Times New Roman" w:hAnsi="Times New Roman" w:eastAsia="宋体" w:cs="Times New Roman"/>
          <w:sz w:val="28"/>
          <w:szCs w:val="28"/>
        </w:rPr>
        <w:t>各县（市、区）现有发展基础、本地资源优势</w:t>
      </w:r>
      <w:r>
        <w:rPr>
          <w:rFonts w:hint="eastAsia" w:ascii="Times New Roman" w:hAnsi="Times New Roman" w:eastAsia="宋体" w:cs="Times New Roman"/>
          <w:sz w:val="28"/>
          <w:szCs w:val="28"/>
        </w:rPr>
        <w:t>、未来产业布局</w:t>
      </w:r>
      <w:r>
        <w:rPr>
          <w:rFonts w:ascii="Times New Roman" w:hAnsi="Times New Roman" w:eastAsia="宋体" w:cs="Times New Roman"/>
          <w:sz w:val="28"/>
          <w:szCs w:val="28"/>
        </w:rPr>
        <w:t>等因素</w:t>
      </w:r>
      <w:r>
        <w:rPr>
          <w:rFonts w:hint="eastAsia" w:ascii="Times New Roman" w:hAnsi="Times New Roman" w:eastAsia="宋体" w:cs="Times New Roman"/>
          <w:sz w:val="28"/>
          <w:szCs w:val="28"/>
        </w:rPr>
        <w:t>的不同，建议</w:t>
      </w:r>
      <w:r>
        <w:rPr>
          <w:rFonts w:ascii="Times New Roman" w:hAnsi="Times New Roman" w:eastAsia="宋体" w:cs="Times New Roman"/>
          <w:sz w:val="28"/>
          <w:szCs w:val="28"/>
        </w:rPr>
        <w:t>各县（市、区）绿色建材发展方向如下</w:t>
      </w:r>
      <w:r>
        <w:rPr>
          <w:rFonts w:hint="eastAsia" w:ascii="Times New Roman" w:hAnsi="Times New Roman" w:eastAsia="宋体" w:cs="Times New Roman"/>
          <w:sz w:val="28"/>
          <w:szCs w:val="28"/>
        </w:rPr>
        <w:t>：</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浈江区：</w:t>
      </w:r>
      <w:r>
        <w:rPr>
          <w:rFonts w:hint="eastAsia" w:ascii="Times New Roman" w:hAnsi="Times New Roman" w:eastAsia="宋体" w:cs="Times New Roman"/>
          <w:sz w:val="28"/>
          <w:szCs w:val="28"/>
        </w:rPr>
        <w:t>以现有混凝土、砂浆和板材等建材企业为基础，发展预制构件、干混砂浆和木业家具</w:t>
      </w:r>
      <w:bookmarkStart w:id="160" w:name="_Hlk112341323"/>
      <w:r>
        <w:rPr>
          <w:rFonts w:hint="eastAsia" w:ascii="Times New Roman" w:hAnsi="Times New Roman" w:eastAsia="宋体" w:cs="Times New Roman"/>
          <w:sz w:val="28"/>
          <w:szCs w:val="28"/>
        </w:rPr>
        <w:t>。</w:t>
      </w:r>
      <w:bookmarkStart w:id="161" w:name="_Hlk112419174"/>
      <w:r>
        <w:rPr>
          <w:rFonts w:hint="eastAsia" w:ascii="Times New Roman" w:hAnsi="Times New Roman" w:eastAsia="宋体" w:cs="Times New Roman"/>
          <w:sz w:val="28"/>
          <w:szCs w:val="28"/>
        </w:rPr>
        <w:t>预期到2025年绿色建材企业用地面积</w:t>
      </w:r>
      <w:r>
        <w:rPr>
          <w:rFonts w:ascii="Times New Roman" w:hAnsi="Times New Roman" w:eastAsia="宋体" w:cs="Times New Roman"/>
          <w:sz w:val="28"/>
          <w:szCs w:val="28"/>
        </w:rPr>
        <w:t>52.9</w:t>
      </w:r>
      <w:r>
        <w:rPr>
          <w:rFonts w:hint="eastAsia" w:ascii="Times New Roman" w:hAnsi="Times New Roman" w:eastAsia="宋体" w:cs="Times New Roman"/>
          <w:sz w:val="28"/>
          <w:szCs w:val="28"/>
        </w:rPr>
        <w:t>亩，以参考土地投资强度</w:t>
      </w:r>
      <w:r>
        <w:rPr>
          <w:rFonts w:ascii="Times New Roman" w:hAnsi="Times New Roman" w:eastAsia="宋体" w:cs="Times New Roman"/>
          <w:sz w:val="28"/>
          <w:szCs w:val="28"/>
        </w:rPr>
        <w:t>200</w:t>
      </w:r>
      <w:r>
        <w:rPr>
          <w:rFonts w:hint="eastAsia" w:ascii="Times New Roman" w:hAnsi="Times New Roman" w:eastAsia="宋体" w:cs="Times New Roman"/>
          <w:sz w:val="28"/>
          <w:szCs w:val="28"/>
        </w:rPr>
        <w:t>万元/亩计，绿色建材所需投入至2025年达</w:t>
      </w:r>
      <w:bookmarkEnd w:id="161"/>
      <w:r>
        <w:rPr>
          <w:rFonts w:hint="eastAsia" w:ascii="Times New Roman" w:hAnsi="Times New Roman" w:eastAsia="宋体" w:cs="Times New Roman"/>
          <w:sz w:val="28"/>
          <w:szCs w:val="28"/>
        </w:rPr>
        <w:t>1</w:t>
      </w:r>
      <w:r>
        <w:rPr>
          <w:rFonts w:ascii="Times New Roman" w:hAnsi="Times New Roman" w:eastAsia="宋体" w:cs="Times New Roman"/>
          <w:sz w:val="28"/>
          <w:szCs w:val="28"/>
        </w:rPr>
        <w:t>.1</w:t>
      </w:r>
      <w:r>
        <w:rPr>
          <w:rFonts w:hint="eastAsia" w:ascii="Times New Roman" w:hAnsi="Times New Roman" w:eastAsia="宋体" w:cs="Times New Roman"/>
          <w:sz w:val="28"/>
          <w:szCs w:val="28"/>
        </w:rPr>
        <w:t>亿元。</w:t>
      </w:r>
      <w:bookmarkEnd w:id="160"/>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曲江区：</w:t>
      </w:r>
      <w:r>
        <w:rPr>
          <w:rFonts w:hint="eastAsia" w:ascii="Times New Roman" w:hAnsi="Times New Roman" w:eastAsia="宋体" w:cs="Times New Roman"/>
          <w:sz w:val="28"/>
          <w:szCs w:val="28"/>
        </w:rPr>
        <w:t>依托华南装备园发展钢结构部品部件，并鼓励钢结构生产企业研发智能停车场等智能化建筑设备。预期到2025年绿色建材企业用地面积</w:t>
      </w:r>
      <w:r>
        <w:rPr>
          <w:rFonts w:ascii="Times New Roman" w:hAnsi="Times New Roman" w:eastAsia="宋体" w:cs="Times New Roman"/>
          <w:sz w:val="28"/>
          <w:szCs w:val="28"/>
        </w:rPr>
        <w:t>130.4</w:t>
      </w:r>
      <w:r>
        <w:rPr>
          <w:rFonts w:hint="eastAsia" w:ascii="Times New Roman" w:hAnsi="Times New Roman" w:eastAsia="宋体" w:cs="Times New Roman"/>
          <w:sz w:val="28"/>
          <w:szCs w:val="28"/>
        </w:rPr>
        <w:t>亩（其中华南装备园</w:t>
      </w:r>
      <w:r>
        <w:rPr>
          <w:rFonts w:ascii="Times New Roman" w:hAnsi="Times New Roman" w:eastAsia="宋体" w:cs="Times New Roman"/>
          <w:sz w:val="28"/>
          <w:szCs w:val="28"/>
        </w:rPr>
        <w:t>68.4</w:t>
      </w:r>
      <w:r>
        <w:rPr>
          <w:rFonts w:hint="eastAsia" w:ascii="Times New Roman" w:hAnsi="Times New Roman" w:eastAsia="宋体" w:cs="Times New Roman"/>
          <w:sz w:val="28"/>
          <w:szCs w:val="28"/>
        </w:rPr>
        <w:t>亩），以参考土地投资强度20</w:t>
      </w:r>
      <w:r>
        <w:rPr>
          <w:rFonts w:ascii="Times New Roman" w:hAnsi="Times New Roman" w:eastAsia="宋体" w:cs="Times New Roman"/>
          <w:sz w:val="28"/>
          <w:szCs w:val="28"/>
        </w:rPr>
        <w:t>0</w:t>
      </w:r>
      <w:r>
        <w:rPr>
          <w:rFonts w:hint="eastAsia" w:ascii="Times New Roman" w:hAnsi="Times New Roman" w:eastAsia="宋体" w:cs="Times New Roman"/>
          <w:sz w:val="28"/>
          <w:szCs w:val="28"/>
        </w:rPr>
        <w:t>万元/亩计，绿色建材所需投入至2025年达</w:t>
      </w:r>
      <w:r>
        <w:rPr>
          <w:rFonts w:ascii="Times New Roman" w:hAnsi="Times New Roman" w:eastAsia="宋体" w:cs="Times New Roman"/>
          <w:sz w:val="28"/>
          <w:szCs w:val="28"/>
        </w:rPr>
        <w:t>2.6</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武江区：</w:t>
      </w:r>
      <w:r>
        <w:rPr>
          <w:rFonts w:hint="eastAsia" w:ascii="Times New Roman" w:hAnsi="Times New Roman" w:eastAsia="宋体" w:cs="Times New Roman"/>
          <w:sz w:val="28"/>
          <w:szCs w:val="28"/>
        </w:rPr>
        <w:t>依托上海电气智能化PC装备生产基地建设项目和东翰门窗、宗庆玻璃等玻璃企业，发展混凝土预制件和高性能门窗等。预期到2025年绿色建材企业用地面积</w:t>
      </w:r>
      <w:r>
        <w:rPr>
          <w:rFonts w:ascii="Times New Roman" w:hAnsi="Times New Roman" w:eastAsia="宋体" w:cs="Times New Roman"/>
          <w:sz w:val="28"/>
          <w:szCs w:val="28"/>
        </w:rPr>
        <w:t>57.4</w:t>
      </w:r>
      <w:r>
        <w:rPr>
          <w:rFonts w:hint="eastAsia" w:ascii="Times New Roman" w:hAnsi="Times New Roman" w:eastAsia="宋体" w:cs="Times New Roman"/>
          <w:sz w:val="28"/>
          <w:szCs w:val="28"/>
        </w:rPr>
        <w:t>亩，以参考土地投资强度</w:t>
      </w:r>
      <w:r>
        <w:rPr>
          <w:rFonts w:ascii="Times New Roman" w:hAnsi="Times New Roman" w:eastAsia="宋体" w:cs="Times New Roman"/>
          <w:sz w:val="28"/>
          <w:szCs w:val="28"/>
        </w:rPr>
        <w:t>180</w:t>
      </w:r>
      <w:r>
        <w:rPr>
          <w:rFonts w:hint="eastAsia" w:ascii="Times New Roman" w:hAnsi="Times New Roman" w:eastAsia="宋体" w:cs="Times New Roman"/>
          <w:sz w:val="28"/>
          <w:szCs w:val="28"/>
        </w:rPr>
        <w:t>万元/亩计，绿色建材所需投入至2025年达</w:t>
      </w:r>
      <w:r>
        <w:rPr>
          <w:rFonts w:ascii="Times New Roman" w:hAnsi="Times New Roman" w:eastAsia="宋体" w:cs="Times New Roman"/>
          <w:sz w:val="28"/>
          <w:szCs w:val="28"/>
        </w:rPr>
        <w:t>1.0</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乐昌市：</w:t>
      </w:r>
      <w:r>
        <w:rPr>
          <w:rFonts w:hint="eastAsia" w:ascii="Times New Roman" w:hAnsi="Times New Roman" w:eastAsia="宋体" w:cs="Times New Roman"/>
          <w:sz w:val="28"/>
          <w:szCs w:val="28"/>
        </w:rPr>
        <w:t>发挥乐昌市龙山林场优势，大力发展竹木建材，围绕现有建材企业发展墙面地面、绝热材料、装饰装修等新型建材。预期到2025年绿色建材企业用地面积</w:t>
      </w:r>
      <w:r>
        <w:rPr>
          <w:rFonts w:ascii="Times New Roman" w:hAnsi="Times New Roman" w:eastAsia="宋体" w:cs="Times New Roman"/>
          <w:sz w:val="28"/>
          <w:szCs w:val="28"/>
        </w:rPr>
        <w:t>426.4</w:t>
      </w:r>
      <w:r>
        <w:rPr>
          <w:rFonts w:hint="eastAsia" w:ascii="Times New Roman" w:hAnsi="Times New Roman" w:eastAsia="宋体" w:cs="Times New Roman"/>
          <w:sz w:val="28"/>
          <w:szCs w:val="28"/>
        </w:rPr>
        <w:t>亩，以参考土地投资强度20</w:t>
      </w:r>
      <w:r>
        <w:rPr>
          <w:rFonts w:ascii="Times New Roman" w:hAnsi="Times New Roman" w:eastAsia="宋体" w:cs="Times New Roman"/>
          <w:sz w:val="28"/>
          <w:szCs w:val="28"/>
        </w:rPr>
        <w:t>0</w:t>
      </w:r>
      <w:r>
        <w:rPr>
          <w:rFonts w:hint="eastAsia" w:ascii="Times New Roman" w:hAnsi="Times New Roman" w:eastAsia="宋体" w:cs="Times New Roman"/>
          <w:sz w:val="28"/>
          <w:szCs w:val="28"/>
        </w:rPr>
        <w:t>万元/亩计，绿色建材所需投入至2025年达</w:t>
      </w:r>
      <w:r>
        <w:rPr>
          <w:rFonts w:ascii="Times New Roman" w:hAnsi="Times New Roman" w:eastAsia="宋体" w:cs="Times New Roman"/>
          <w:sz w:val="28"/>
          <w:szCs w:val="28"/>
        </w:rPr>
        <w:t>8.5</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南雄市：</w:t>
      </w:r>
      <w:r>
        <w:rPr>
          <w:rFonts w:hint="eastAsia" w:ascii="Times New Roman" w:hAnsi="Times New Roman" w:eastAsia="宋体" w:cs="Times New Roman"/>
          <w:sz w:val="28"/>
          <w:szCs w:val="28"/>
        </w:rPr>
        <w:t>充分发挥南雄产业园一期涂料企业集聚优势，重点发展高端环保涂料，以南雄丰富的竹资源为基础适度发展竹质建材等产业。预期到2025年绿色建材企业用地面积</w:t>
      </w:r>
      <w:r>
        <w:rPr>
          <w:rFonts w:ascii="Times New Roman" w:hAnsi="Times New Roman" w:eastAsia="宋体" w:cs="Times New Roman"/>
          <w:sz w:val="28"/>
          <w:szCs w:val="28"/>
        </w:rPr>
        <w:t>114.2</w:t>
      </w:r>
      <w:r>
        <w:rPr>
          <w:rFonts w:hint="eastAsia" w:ascii="Times New Roman" w:hAnsi="Times New Roman" w:eastAsia="宋体" w:cs="Times New Roman"/>
          <w:sz w:val="28"/>
          <w:szCs w:val="28"/>
        </w:rPr>
        <w:t>亩，以参考土地投资强度</w:t>
      </w:r>
      <w:r>
        <w:rPr>
          <w:rFonts w:ascii="Times New Roman" w:hAnsi="Times New Roman" w:eastAsia="宋体" w:cs="Times New Roman"/>
          <w:sz w:val="28"/>
          <w:szCs w:val="28"/>
        </w:rPr>
        <w:t>150</w:t>
      </w:r>
      <w:r>
        <w:rPr>
          <w:rFonts w:hint="eastAsia" w:ascii="Times New Roman" w:hAnsi="Times New Roman" w:eastAsia="宋体" w:cs="Times New Roman"/>
          <w:sz w:val="28"/>
          <w:szCs w:val="28"/>
        </w:rPr>
        <w:t>万元/亩计，绿色建材所需投入至2025年达1.</w:t>
      </w:r>
      <w:r>
        <w:rPr>
          <w:rFonts w:ascii="Times New Roman" w:hAnsi="Times New Roman" w:eastAsia="宋体" w:cs="Times New Roman"/>
          <w:sz w:val="28"/>
          <w:szCs w:val="28"/>
        </w:rPr>
        <w:t>7</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仁化县：</w:t>
      </w:r>
      <w:r>
        <w:rPr>
          <w:rFonts w:hint="eastAsia" w:ascii="Times New Roman" w:hAnsi="Times New Roman" w:eastAsia="宋体" w:cs="Times New Roman"/>
          <w:sz w:val="28"/>
          <w:szCs w:val="28"/>
        </w:rPr>
        <w:t>发挥仁化县丰富竹木资源优势和已形成一定规模的竹子生产基地和加工销售体系，发展竹胶合板、生态板、竹地板等竹制建材，依托丰富的金属矿产资源适度发展金属建材。预期到2025年绿色建材企业用地面积</w:t>
      </w:r>
      <w:r>
        <w:rPr>
          <w:rFonts w:ascii="Times New Roman" w:hAnsi="Times New Roman" w:eastAsia="宋体" w:cs="Times New Roman"/>
          <w:sz w:val="28"/>
          <w:szCs w:val="28"/>
        </w:rPr>
        <w:t>88.5</w:t>
      </w:r>
      <w:r>
        <w:rPr>
          <w:rFonts w:hint="eastAsia" w:ascii="Times New Roman" w:hAnsi="Times New Roman" w:eastAsia="宋体" w:cs="Times New Roman"/>
          <w:sz w:val="28"/>
          <w:szCs w:val="28"/>
        </w:rPr>
        <w:t>亩，以参考土地投资强度20</w:t>
      </w:r>
      <w:r>
        <w:rPr>
          <w:rFonts w:ascii="Times New Roman" w:hAnsi="Times New Roman" w:eastAsia="宋体" w:cs="Times New Roman"/>
          <w:sz w:val="28"/>
          <w:szCs w:val="28"/>
        </w:rPr>
        <w:t>0</w:t>
      </w:r>
      <w:r>
        <w:rPr>
          <w:rFonts w:hint="eastAsia" w:ascii="Times New Roman" w:hAnsi="Times New Roman" w:eastAsia="宋体" w:cs="Times New Roman"/>
          <w:sz w:val="28"/>
          <w:szCs w:val="28"/>
        </w:rPr>
        <w:t>万元/亩计，绿色建材所需投入至2025年达</w:t>
      </w:r>
      <w:r>
        <w:rPr>
          <w:rFonts w:ascii="Times New Roman" w:hAnsi="Times New Roman" w:eastAsia="宋体" w:cs="Times New Roman"/>
          <w:sz w:val="28"/>
          <w:szCs w:val="28"/>
        </w:rPr>
        <w:t>1.8</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始兴县：</w:t>
      </w:r>
      <w:r>
        <w:rPr>
          <w:rFonts w:hint="eastAsia" w:ascii="Times New Roman" w:hAnsi="Times New Roman" w:eastAsia="宋体" w:cs="Times New Roman"/>
          <w:sz w:val="28"/>
          <w:szCs w:val="28"/>
        </w:rPr>
        <w:t>发挥始兴县有约的林业资源优势，大力推进竹产业循环经济园建设，适度发展木质板材、竹加工建材产业。预期到2025年绿色建材企业用地面积2</w:t>
      </w:r>
      <w:r>
        <w:rPr>
          <w:rFonts w:ascii="Times New Roman" w:hAnsi="Times New Roman" w:eastAsia="宋体" w:cs="Times New Roman"/>
          <w:sz w:val="28"/>
          <w:szCs w:val="28"/>
        </w:rPr>
        <w:t>30.1</w:t>
      </w:r>
      <w:r>
        <w:rPr>
          <w:rFonts w:hint="eastAsia" w:ascii="Times New Roman" w:hAnsi="Times New Roman" w:eastAsia="宋体" w:cs="Times New Roman"/>
          <w:sz w:val="28"/>
          <w:szCs w:val="28"/>
        </w:rPr>
        <w:t>亩，以参考土地投资强度120万元/亩计，绿色建材所需投入至2025年达</w:t>
      </w:r>
      <w:r>
        <w:rPr>
          <w:rFonts w:ascii="Times New Roman" w:hAnsi="Times New Roman" w:eastAsia="宋体" w:cs="Times New Roman"/>
          <w:sz w:val="28"/>
          <w:szCs w:val="28"/>
        </w:rPr>
        <w:t>2.8</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翁源县：</w:t>
      </w:r>
      <w:r>
        <w:rPr>
          <w:rFonts w:hint="eastAsia" w:ascii="Times New Roman" w:hAnsi="Times New Roman" w:eastAsia="宋体" w:cs="Times New Roman"/>
          <w:sz w:val="28"/>
          <w:szCs w:val="28"/>
        </w:rPr>
        <w:t>依托华彩新材料产业园重点发展新型建筑涂料，推动现有涂料企业绿色升级。预期到2025年绿色建材企业用地面积</w:t>
      </w:r>
      <w:r>
        <w:rPr>
          <w:rFonts w:ascii="Times New Roman" w:hAnsi="Times New Roman" w:eastAsia="宋体" w:cs="Times New Roman"/>
          <w:sz w:val="28"/>
          <w:szCs w:val="28"/>
        </w:rPr>
        <w:t>134.9</w:t>
      </w:r>
      <w:r>
        <w:rPr>
          <w:rFonts w:hint="eastAsia" w:ascii="Times New Roman" w:hAnsi="Times New Roman" w:eastAsia="宋体" w:cs="Times New Roman"/>
          <w:sz w:val="28"/>
          <w:szCs w:val="28"/>
        </w:rPr>
        <w:t>亩，以参考土地投资强度2</w:t>
      </w:r>
      <w:r>
        <w:rPr>
          <w:rFonts w:ascii="Times New Roman" w:hAnsi="Times New Roman" w:eastAsia="宋体" w:cs="Times New Roman"/>
          <w:sz w:val="28"/>
          <w:szCs w:val="28"/>
        </w:rPr>
        <w:t>2</w:t>
      </w:r>
      <w:r>
        <w:rPr>
          <w:rFonts w:hint="eastAsia" w:ascii="Times New Roman" w:hAnsi="Times New Roman" w:eastAsia="宋体" w:cs="Times New Roman"/>
          <w:sz w:val="28"/>
          <w:szCs w:val="28"/>
        </w:rPr>
        <w:t>0万元/亩计，绿色建材所需投入至2025年达</w:t>
      </w:r>
      <w:r>
        <w:rPr>
          <w:rFonts w:ascii="Times New Roman" w:hAnsi="Times New Roman" w:eastAsia="宋体" w:cs="Times New Roman"/>
          <w:sz w:val="28"/>
          <w:szCs w:val="28"/>
        </w:rPr>
        <w:t>3.0</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新丰县：</w:t>
      </w:r>
      <w:r>
        <w:rPr>
          <w:rFonts w:hint="eastAsia" w:ascii="Times New Roman" w:hAnsi="Times New Roman" w:eastAsia="宋体" w:cs="Times New Roman"/>
          <w:sz w:val="28"/>
          <w:szCs w:val="28"/>
        </w:rPr>
        <w:t>依托以建材、新型制造等为主导产业的新丰回龙工业园的产业基础，发力发展装配式部品部件、新型建筑材料。预期到2025年绿色建材企业用地面积</w:t>
      </w:r>
      <w:r>
        <w:rPr>
          <w:rFonts w:ascii="Times New Roman" w:hAnsi="Times New Roman" w:eastAsia="宋体" w:cs="Times New Roman"/>
          <w:sz w:val="28"/>
          <w:szCs w:val="28"/>
        </w:rPr>
        <w:t>953.4</w:t>
      </w:r>
      <w:r>
        <w:rPr>
          <w:rFonts w:hint="eastAsia" w:ascii="Times New Roman" w:hAnsi="Times New Roman" w:eastAsia="宋体" w:cs="Times New Roman"/>
          <w:sz w:val="28"/>
          <w:szCs w:val="28"/>
        </w:rPr>
        <w:t>亩，以参考土地投资强度</w:t>
      </w:r>
      <w:r>
        <w:rPr>
          <w:rFonts w:ascii="Times New Roman" w:hAnsi="Times New Roman" w:eastAsia="宋体" w:cs="Times New Roman"/>
          <w:sz w:val="28"/>
          <w:szCs w:val="28"/>
        </w:rPr>
        <w:t>15</w:t>
      </w:r>
      <w:r>
        <w:rPr>
          <w:rFonts w:hint="eastAsia" w:ascii="Times New Roman" w:hAnsi="Times New Roman" w:eastAsia="宋体" w:cs="Times New Roman"/>
          <w:sz w:val="28"/>
          <w:szCs w:val="28"/>
        </w:rPr>
        <w:t>0万元/亩计，绿色建材所需投入至2025年达</w:t>
      </w:r>
      <w:r>
        <w:rPr>
          <w:rFonts w:ascii="Times New Roman" w:hAnsi="Times New Roman" w:eastAsia="宋体" w:cs="Times New Roman"/>
          <w:sz w:val="28"/>
          <w:szCs w:val="28"/>
        </w:rPr>
        <w:t>14.3</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乳源瑶族自治县：</w:t>
      </w:r>
      <w:r>
        <w:rPr>
          <w:rFonts w:hint="eastAsia" w:ascii="Times New Roman" w:hAnsi="Times New Roman" w:eastAsia="宋体" w:cs="Times New Roman"/>
          <w:sz w:val="28"/>
          <w:szCs w:val="28"/>
        </w:rPr>
        <w:t>结合其他产业配套需求，承接发展铝合金光伏、铝合金建筑模板等铝合金材料。预期到2025年绿色建材企业用地面积</w:t>
      </w:r>
      <w:r>
        <w:rPr>
          <w:rFonts w:ascii="Times New Roman" w:hAnsi="Times New Roman" w:eastAsia="宋体" w:cs="Times New Roman"/>
          <w:sz w:val="28"/>
          <w:szCs w:val="28"/>
        </w:rPr>
        <w:t>265.7</w:t>
      </w:r>
      <w:r>
        <w:rPr>
          <w:rFonts w:hint="eastAsia" w:ascii="Times New Roman" w:hAnsi="Times New Roman" w:eastAsia="宋体" w:cs="Times New Roman"/>
          <w:sz w:val="28"/>
          <w:szCs w:val="28"/>
        </w:rPr>
        <w:t>亩，以参考土地投资强度2</w:t>
      </w:r>
      <w:r>
        <w:rPr>
          <w:rFonts w:ascii="Times New Roman" w:hAnsi="Times New Roman" w:eastAsia="宋体" w:cs="Times New Roman"/>
          <w:sz w:val="28"/>
          <w:szCs w:val="28"/>
        </w:rPr>
        <w:t>0</w:t>
      </w:r>
      <w:r>
        <w:rPr>
          <w:rFonts w:hint="eastAsia" w:ascii="Times New Roman" w:hAnsi="Times New Roman" w:eastAsia="宋体" w:cs="Times New Roman"/>
          <w:sz w:val="28"/>
          <w:szCs w:val="28"/>
        </w:rPr>
        <w:t>0万元/亩计，绿色建材所需投入至2025年达</w:t>
      </w:r>
      <w:r>
        <w:rPr>
          <w:rFonts w:ascii="Times New Roman" w:hAnsi="Times New Roman" w:eastAsia="宋体" w:cs="Times New Roman"/>
          <w:sz w:val="28"/>
          <w:szCs w:val="28"/>
        </w:rPr>
        <w:t>5.3</w:t>
      </w:r>
      <w:r>
        <w:rPr>
          <w:rFonts w:hint="eastAsia" w:ascii="Times New Roman" w:hAnsi="Times New Roman" w:eastAsia="宋体" w:cs="Times New Roman"/>
          <w:sz w:val="28"/>
          <w:szCs w:val="28"/>
        </w:rPr>
        <w:t>亿元。</w:t>
      </w:r>
    </w:p>
    <w:p>
      <w:pPr>
        <w:spacing w:after="156" w:afterLines="50" w:line="360" w:lineRule="auto"/>
        <w:rPr>
          <w:rFonts w:ascii="楷体" w:hAnsi="楷体" w:eastAsia="楷体" w:cs="楷体"/>
          <w:b/>
          <w:bCs/>
          <w:sz w:val="30"/>
          <w:szCs w:val="30"/>
        </w:rPr>
      </w:pPr>
      <w:r>
        <w:rPr>
          <w:rFonts w:hint="eastAsia" w:ascii="楷体" w:hAnsi="楷体" w:eastAsia="楷体" w:cs="楷体"/>
          <w:b/>
          <w:bCs/>
          <w:sz w:val="30"/>
          <w:szCs w:val="30"/>
        </w:rPr>
        <w:t>四、重点任务</w:t>
      </w:r>
    </w:p>
    <w:p>
      <w:p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为力争达成上述绿色建材产值，进一步推进绿色建材产业发展，使绿色建材成为韶关市绿色建筑发展的有力支撑、推行新型建筑工业化重要内容、珠三角产业共建和区域合作融合发展区坚实纽带、绿色发展韶关样板的亮眼元素，建议韶关市下一步的重点任务如下：</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1</w:t>
      </w:r>
      <w:r>
        <w:rPr>
          <w:rFonts w:hint="eastAsia" w:ascii="Times New Roman" w:hAnsi="Times New Roman" w:eastAsia="宋体" w:cs="Times New Roman"/>
          <w:b/>
          <w:bCs/>
          <w:sz w:val="28"/>
          <w:szCs w:val="28"/>
        </w:rPr>
        <w:t>、实施绿色建筑高质量发展行动。</w:t>
      </w:r>
      <w:r>
        <w:rPr>
          <w:rFonts w:hint="eastAsia" w:ascii="Times New Roman" w:hAnsi="Times New Roman" w:eastAsia="宋体" w:cs="Times New Roman"/>
          <w:sz w:val="28"/>
          <w:szCs w:val="28"/>
        </w:rPr>
        <w:t>编制韶关市绿色建筑实施方案，制定绿色建筑管理配套政策，建立绿色建筑规划和建设、运行和改造、技术发展和激励措施等全寿命期工作推进机制。（</w:t>
      </w:r>
      <w:bookmarkStart w:id="162" w:name="_Hlk112430877"/>
      <w:r>
        <w:rPr>
          <w:rFonts w:hint="eastAsia" w:ascii="Times New Roman" w:hAnsi="Times New Roman" w:eastAsia="宋体" w:cs="Times New Roman"/>
          <w:sz w:val="28"/>
          <w:szCs w:val="28"/>
        </w:rPr>
        <w:t>市住房和城乡建设管理局</w:t>
      </w:r>
      <w:bookmarkEnd w:id="162"/>
      <w:r>
        <w:rPr>
          <w:rFonts w:hint="eastAsia" w:ascii="Times New Roman" w:hAnsi="Times New Roman" w:eastAsia="宋体" w:cs="Times New Roman"/>
          <w:sz w:val="28"/>
          <w:szCs w:val="28"/>
        </w:rPr>
        <w:t>、市自然资源局）</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2</w:t>
      </w:r>
      <w:r>
        <w:rPr>
          <w:rFonts w:hint="eastAsia" w:ascii="Times New Roman" w:hAnsi="Times New Roman" w:eastAsia="宋体" w:cs="Times New Roman"/>
          <w:b/>
          <w:bCs/>
          <w:sz w:val="28"/>
          <w:szCs w:val="28"/>
        </w:rPr>
        <w:t>、推进新型建筑工业化。</w:t>
      </w:r>
      <w:r>
        <w:rPr>
          <w:rFonts w:hint="eastAsia" w:ascii="Times New Roman" w:hAnsi="Times New Roman" w:eastAsia="宋体" w:cs="Times New Roman"/>
          <w:sz w:val="28"/>
          <w:szCs w:val="28"/>
        </w:rPr>
        <w:t>政府投资总规划建筑面积为1万平方米（含）以上的新建房屋建筑工程，应采用装配式技术建造；市政工程、公共设施、轨道交通、城市综合管廊等项目中采用装配式建筑方式比例达到50%以上。依托钢铁资源和矿产资源大力发展装配式部品部件；推动高性能混凝土、高性能玻璃的应用，拉动韶关市现有传统建筑建材产业转型。（</w:t>
      </w:r>
      <w:bookmarkStart w:id="163" w:name="_Hlk112430929"/>
      <w:r>
        <w:rPr>
          <w:rFonts w:hint="eastAsia" w:ascii="Times New Roman" w:hAnsi="Times New Roman" w:eastAsia="宋体" w:cs="Times New Roman"/>
          <w:sz w:val="28"/>
          <w:szCs w:val="28"/>
        </w:rPr>
        <w:t>市工业和信息化局</w:t>
      </w:r>
      <w:bookmarkEnd w:id="163"/>
      <w:r>
        <w:rPr>
          <w:rFonts w:hint="eastAsia" w:ascii="Times New Roman" w:hAnsi="Times New Roman" w:eastAsia="宋体" w:cs="Times New Roman"/>
          <w:sz w:val="28"/>
          <w:szCs w:val="28"/>
        </w:rPr>
        <w:t>、市住房和城乡建设管理局、市自然资源局）</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3</w:t>
      </w:r>
      <w:r>
        <w:rPr>
          <w:rFonts w:hint="eastAsia" w:ascii="Times New Roman" w:hAnsi="Times New Roman" w:eastAsia="宋体" w:cs="Times New Roman"/>
          <w:b/>
          <w:bCs/>
          <w:sz w:val="28"/>
          <w:szCs w:val="28"/>
        </w:rPr>
        <w:t>、积极推广清洁能源与清洁生产。</w:t>
      </w:r>
      <w:r>
        <w:rPr>
          <w:rFonts w:hint="eastAsia" w:ascii="Times New Roman" w:hAnsi="Times New Roman" w:eastAsia="宋体" w:cs="Times New Roman"/>
          <w:sz w:val="28"/>
          <w:szCs w:val="28"/>
        </w:rPr>
        <w:t>推进建筑节能降碳，助力碳达峰行动。“十四五”期间，</w:t>
      </w:r>
      <w:r>
        <w:rPr>
          <w:rFonts w:ascii="Times New Roman" w:hAnsi="Times New Roman" w:cs="Times New Roman"/>
          <w:sz w:val="28"/>
          <w:szCs w:val="28"/>
        </w:rPr>
        <w:t>城镇新建建筑能效水平</w:t>
      </w:r>
      <w:r>
        <w:rPr>
          <w:rFonts w:hint="eastAsia" w:ascii="Times New Roman" w:hAnsi="Times New Roman" w:cs="Times New Roman"/>
          <w:sz w:val="28"/>
          <w:szCs w:val="28"/>
        </w:rPr>
        <w:t>需</w:t>
      </w:r>
      <w:r>
        <w:rPr>
          <w:rFonts w:ascii="Times New Roman" w:hAnsi="Times New Roman" w:cs="Times New Roman"/>
          <w:sz w:val="28"/>
          <w:szCs w:val="28"/>
        </w:rPr>
        <w:t>提升15%、</w:t>
      </w:r>
      <w:r>
        <w:rPr>
          <w:rFonts w:hint="eastAsia" w:ascii="Times New Roman" w:hAnsi="Times New Roman" w:eastAsia="宋体" w:cs="Times New Roman"/>
          <w:sz w:val="28"/>
          <w:szCs w:val="28"/>
        </w:rPr>
        <w:t>新增可再生能源应用面积20万平方米、太阳能光电建筑应用装机容量5兆瓦，借助武江区、始兴县、南雄市被国家能源局列为屋顶分布式光伏开发试点单位的机会，面向光伏产业的发展需求，大力发展配套建材产业。散装水泥全面实施绿色生产。推进工程机械电动化，出台相关优惠政策鼓励建设工程相关机械设备从用柴油等化石能源改为用电。（市发展和改革局、市工业和信息化局、市住房和城乡建设管理局）</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4</w:t>
      </w:r>
      <w:r>
        <w:rPr>
          <w:rFonts w:hint="eastAsia" w:ascii="Times New Roman" w:hAnsi="Times New Roman" w:eastAsia="宋体" w:cs="Times New Roman"/>
          <w:b/>
          <w:bCs/>
          <w:sz w:val="28"/>
          <w:szCs w:val="28"/>
        </w:rPr>
        <w:t>、大力推进废旧建筑再利用，推动老旧小区绿色化改造。</w:t>
      </w:r>
      <w:r>
        <w:rPr>
          <w:rFonts w:hint="eastAsia" w:ascii="Times New Roman" w:hAnsi="Times New Roman" w:eastAsia="宋体" w:cs="Times New Roman"/>
          <w:sz w:val="28"/>
          <w:szCs w:val="28"/>
        </w:rPr>
        <w:t>利用好城市管理综合执法局合并至住房和城乡建设管理局的独特优势，结合城市旧改、“139+”美丽圩镇建设、县城品质提升“439”行动等工作，“十四五”期间力争完成既有建筑节能和绿色化改造面积50万平方米以上，推进建筑废弃物再利用。（市住房和城乡建设管理局、市发展和改革局、市农业农村局）</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5</w:t>
      </w:r>
      <w:r>
        <w:rPr>
          <w:rFonts w:hint="eastAsia" w:ascii="Times New Roman" w:hAnsi="Times New Roman" w:eastAsia="宋体" w:cs="Times New Roman"/>
          <w:b/>
          <w:bCs/>
          <w:sz w:val="28"/>
          <w:szCs w:val="28"/>
        </w:rPr>
        <w:t>、促进绿色建筑、绿色建材相关服务业发展，创新人才引进政策与服务机制。</w:t>
      </w:r>
      <w:r>
        <w:rPr>
          <w:rFonts w:hint="eastAsia" w:ascii="Times New Roman" w:hAnsi="Times New Roman" w:eastAsia="宋体" w:cs="Times New Roman"/>
          <w:sz w:val="28"/>
          <w:szCs w:val="28"/>
        </w:rPr>
        <w:t>提升韶关本地企业的绿色技术水平，提高相关行业人员对绿色建筑的认知水平，从根本上提升绿色建筑的质量。出台鼓励企业引进海内外人才，加强与高校合作，培养相关人才，做好人才落户政策保障，根据企业纳税及社会贡献给予一定的人才奖补指标。（</w:t>
      </w:r>
      <w:bookmarkStart w:id="164" w:name="_Hlk112431066"/>
      <w:r>
        <w:rPr>
          <w:rFonts w:hint="eastAsia" w:ascii="Times New Roman" w:hAnsi="Times New Roman" w:eastAsia="宋体" w:cs="Times New Roman"/>
          <w:sz w:val="28"/>
          <w:szCs w:val="28"/>
        </w:rPr>
        <w:t>市住房和城乡建设管理局</w:t>
      </w:r>
      <w:bookmarkEnd w:id="164"/>
      <w:r>
        <w:rPr>
          <w:rFonts w:hint="eastAsia" w:ascii="Times New Roman" w:hAnsi="Times New Roman" w:eastAsia="宋体" w:cs="Times New Roman"/>
          <w:sz w:val="28"/>
          <w:szCs w:val="28"/>
        </w:rPr>
        <w:t>、市人力资源和社会保障局、市财政局）</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6</w:t>
      </w:r>
      <w:r>
        <w:rPr>
          <w:rFonts w:hint="eastAsia" w:ascii="Times New Roman" w:hAnsi="Times New Roman" w:eastAsia="宋体" w:cs="Times New Roman"/>
          <w:b/>
          <w:bCs/>
          <w:sz w:val="28"/>
          <w:szCs w:val="28"/>
        </w:rPr>
        <w:t>、强化与周边地市的协同互补。</w:t>
      </w:r>
      <w:r>
        <w:rPr>
          <w:rFonts w:hint="eastAsia" w:ascii="Times New Roman" w:hAnsi="Times New Roman" w:eastAsia="宋体" w:cs="Times New Roman"/>
          <w:sz w:val="28"/>
          <w:szCs w:val="28"/>
        </w:rPr>
        <w:t>充分考虑邻居地市的优势产业，避免产业同质化竞争，加强与珠三角其他地市的联动，积极对接各地市优势产业，利用韶关市本地钢铁、矿产、森林等原材料优势，吸引珠三角技术先进的装配式部品部件、板材等建材企业落户韶关。（市商务局、市住房和城乡建设管理局、市交通运输局、市自然资源局）</w:t>
      </w:r>
    </w:p>
    <w:p>
      <w:pPr>
        <w:spacing w:after="156" w:afterLines="50" w:line="360" w:lineRule="auto"/>
        <w:rPr>
          <w:rFonts w:ascii="楷体" w:hAnsi="楷体" w:eastAsia="楷体" w:cs="楷体"/>
          <w:b/>
          <w:bCs/>
          <w:sz w:val="30"/>
          <w:szCs w:val="30"/>
        </w:rPr>
      </w:pPr>
      <w:r>
        <w:rPr>
          <w:rFonts w:hint="eastAsia" w:ascii="楷体" w:hAnsi="楷体" w:eastAsia="楷体" w:cs="楷体"/>
          <w:b/>
          <w:bCs/>
          <w:sz w:val="30"/>
          <w:szCs w:val="30"/>
        </w:rPr>
        <w:t>五、保障措施</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1、实施激励政策。</w:t>
      </w:r>
      <w:r>
        <w:rPr>
          <w:rFonts w:hint="eastAsia" w:ascii="Times New Roman" w:hAnsi="Times New Roman" w:eastAsia="宋体" w:cs="Times New Roman"/>
          <w:sz w:val="28"/>
          <w:szCs w:val="28"/>
        </w:rPr>
        <w:t>推动本地绿色建材认证，鼓励国家认证，建立韶关本地认证机制。落实好国家、省的支持优惠政策，制定符合产业发展需要的财政、税收、金融、投资、产业、土地、人才等方面的配套政策，为促进产业发展创造良好的政策环境，加大市财对对绿色建筑、绿色建材、装配式建筑等的资金扶持力度。</w:t>
      </w:r>
    </w:p>
    <w:p>
      <w:pPr>
        <w:numPr>
          <w:ilvl w:val="0"/>
          <w:numId w:val="2"/>
        </w:num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推动绿色基础设施建设。</w:t>
      </w:r>
      <w:r>
        <w:rPr>
          <w:rFonts w:hint="eastAsia" w:ascii="Times New Roman" w:hAnsi="Times New Roman" w:eastAsia="宋体" w:cs="Times New Roman"/>
          <w:sz w:val="28"/>
          <w:szCs w:val="28"/>
        </w:rPr>
        <w:t>加强城乡建设、可再生能源、综合交通、生态、信息物流等领域基础设施建设，引导企业绿色生产、转型升级，开展环保基础设施建设、环境污染防治和生态修复技术应用试点示范。</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3</w:t>
      </w:r>
      <w:r>
        <w:rPr>
          <w:rFonts w:hint="eastAsia" w:ascii="Times New Roman" w:hAnsi="Times New Roman" w:eastAsia="宋体" w:cs="Times New Roman"/>
          <w:b/>
          <w:bCs/>
          <w:sz w:val="28"/>
          <w:szCs w:val="28"/>
        </w:rPr>
        <w:t>、</w:t>
      </w:r>
      <w:r>
        <w:rPr>
          <w:rFonts w:ascii="Times New Roman" w:hAnsi="Times New Roman" w:eastAsia="宋体" w:cs="Times New Roman"/>
          <w:b/>
          <w:bCs/>
          <w:sz w:val="28"/>
          <w:szCs w:val="28"/>
        </w:rPr>
        <w:t>注重生态环境协同发展</w:t>
      </w:r>
      <w:r>
        <w:rPr>
          <w:rFonts w:hint="eastAsia" w:ascii="Times New Roman" w:hAnsi="Times New Roman" w:eastAsia="宋体" w:cs="Times New Roman"/>
          <w:b/>
          <w:bCs/>
          <w:sz w:val="28"/>
          <w:szCs w:val="28"/>
        </w:rPr>
        <w:t>。</w:t>
      </w:r>
      <w:r>
        <w:rPr>
          <w:rFonts w:hint="eastAsia" w:ascii="Times New Roman" w:hAnsi="Times New Roman" w:eastAsia="宋体" w:cs="Times New Roman"/>
          <w:sz w:val="28"/>
          <w:szCs w:val="28"/>
        </w:rPr>
        <w:t>提升建材行业清洁生产、节能减排和环保治理水平，严格执行行业清洁生产相关标准，实行绿色工厂、绿色园区创建等行动，全面推行绿色施工，建立绿色施工现场考评检查制度。强化固体废物安全利用处置，推进“无废城市”建设。</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4、做好建材产业发展保障。</w:t>
      </w:r>
      <w:r>
        <w:rPr>
          <w:rFonts w:ascii="Times New Roman" w:hAnsi="Times New Roman" w:eastAsia="宋体" w:cs="Times New Roman"/>
          <w:sz w:val="28"/>
          <w:szCs w:val="28"/>
        </w:rPr>
        <w:t>保障</w:t>
      </w:r>
      <w:r>
        <w:rPr>
          <w:rFonts w:hint="eastAsia" w:ascii="Times New Roman" w:hAnsi="Times New Roman" w:eastAsia="宋体" w:cs="Times New Roman"/>
          <w:sz w:val="28"/>
          <w:szCs w:val="28"/>
        </w:rPr>
        <w:t>绿色建筑和绿色建材</w:t>
      </w:r>
      <w:r>
        <w:rPr>
          <w:rFonts w:ascii="Times New Roman" w:hAnsi="Times New Roman" w:eastAsia="宋体" w:cs="Times New Roman"/>
          <w:sz w:val="28"/>
          <w:szCs w:val="28"/>
        </w:rPr>
        <w:t>产业用地需求，对</w:t>
      </w:r>
      <w:r>
        <w:rPr>
          <w:rFonts w:hint="eastAsia" w:ascii="Times New Roman" w:hAnsi="Times New Roman" w:eastAsia="宋体" w:cs="Times New Roman"/>
          <w:sz w:val="28"/>
          <w:szCs w:val="28"/>
        </w:rPr>
        <w:t>好的建材</w:t>
      </w:r>
      <w:r>
        <w:rPr>
          <w:rFonts w:ascii="Times New Roman" w:hAnsi="Times New Roman" w:eastAsia="宋体" w:cs="Times New Roman"/>
          <w:sz w:val="28"/>
          <w:szCs w:val="28"/>
        </w:rPr>
        <w:t>项目</w:t>
      </w:r>
      <w:r>
        <w:rPr>
          <w:rFonts w:hint="eastAsia" w:ascii="Times New Roman" w:hAnsi="Times New Roman" w:eastAsia="宋体" w:cs="Times New Roman"/>
          <w:sz w:val="28"/>
          <w:szCs w:val="28"/>
        </w:rPr>
        <w:t>在</w:t>
      </w:r>
      <w:r>
        <w:rPr>
          <w:rFonts w:ascii="Times New Roman" w:hAnsi="Times New Roman" w:eastAsia="宋体" w:cs="Times New Roman"/>
          <w:sz w:val="28"/>
          <w:szCs w:val="28"/>
        </w:rPr>
        <w:t>用地</w:t>
      </w:r>
      <w:r>
        <w:rPr>
          <w:rFonts w:hint="eastAsia" w:ascii="Times New Roman" w:hAnsi="Times New Roman" w:eastAsia="宋体" w:cs="Times New Roman"/>
          <w:sz w:val="28"/>
          <w:szCs w:val="28"/>
        </w:rPr>
        <w:t>方面予以</w:t>
      </w:r>
      <w:r>
        <w:rPr>
          <w:rFonts w:ascii="Times New Roman" w:hAnsi="Times New Roman" w:eastAsia="宋体" w:cs="Times New Roman"/>
          <w:sz w:val="28"/>
          <w:szCs w:val="28"/>
        </w:rPr>
        <w:t>倾斜支持</w:t>
      </w:r>
      <w:r>
        <w:rPr>
          <w:rFonts w:hint="eastAsia" w:ascii="Times New Roman" w:hAnsi="Times New Roman" w:eastAsia="宋体" w:cs="Times New Roman"/>
          <w:sz w:val="28"/>
          <w:szCs w:val="28"/>
        </w:rPr>
        <w:t>。</w:t>
      </w:r>
      <w:r>
        <w:rPr>
          <w:rFonts w:ascii="Times New Roman" w:hAnsi="Times New Roman" w:eastAsia="宋体" w:cs="Times New Roman"/>
          <w:sz w:val="28"/>
          <w:szCs w:val="28"/>
        </w:rPr>
        <w:t>强化招商引资，大力引进国内、省内优秀项目</w:t>
      </w:r>
      <w:r>
        <w:rPr>
          <w:rFonts w:hint="eastAsia" w:ascii="Times New Roman" w:hAnsi="Times New Roman" w:eastAsia="宋体" w:cs="Times New Roman"/>
          <w:sz w:val="28"/>
          <w:szCs w:val="28"/>
        </w:rPr>
        <w:t>，优先引进创新性企业和高科技含量、高附加值的创新型项目。引导社会资本和金融支持绿色建材产业，探索多种融资方式，拓宽绿色建材企业投融资渠道，吸引投资者参与建设。</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5、强化政府管理。</w:t>
      </w:r>
      <w:r>
        <w:rPr>
          <w:rFonts w:hint="eastAsia" w:ascii="Times New Roman" w:hAnsi="Times New Roman" w:eastAsia="宋体" w:cs="Times New Roman"/>
          <w:sz w:val="28"/>
          <w:szCs w:val="28"/>
        </w:rPr>
        <w:t>强化管理责任，把好建材项目准入关和后续监管监督；运用大数据等科技手段加快数字政府和智慧城市建设；优化审批程序，为绿色建材相关企业提供便利高效服务，营造公平、公正、透明的发展环境。利用政府网站、新闻媒体等，加大招商引资宣传推广力度。支持行业协会、学会等行业组织，组建行业交流及跨界协作平台。运用政策引导、执法监督等手段，为企业营造良好的生产经营和研发环境。</w:t>
      </w:r>
    </w:p>
    <w:p>
      <w:pPr>
        <w:numPr>
          <w:ilvl w:val="255"/>
          <w:numId w:val="0"/>
        </w:numPr>
        <w:spacing w:line="360" w:lineRule="auto"/>
        <w:rPr>
          <w:rFonts w:ascii="Times New Roman" w:hAnsi="Times New Roman" w:eastAsia="宋体" w:cs="Times New Roman"/>
          <w:sz w:val="28"/>
          <w:szCs w:val="28"/>
        </w:rPr>
      </w:pPr>
    </w:p>
    <w:p>
      <w:pPr>
        <w:pStyle w:val="2"/>
        <w:rPr>
          <w:rFonts w:hint="default" w:ascii="Times New Roman" w:hAnsi="Times New Roman" w:cs="Times New Roman"/>
          <w:sz w:val="28"/>
          <w:szCs w:val="28"/>
        </w:rPr>
        <w:sectPr>
          <w:footerReference r:id="rId6" w:type="default"/>
          <w:pgSz w:w="11906" w:h="16838"/>
          <w:pgMar w:top="1440" w:right="1797" w:bottom="1440" w:left="1797" w:header="851" w:footer="992" w:gutter="0"/>
          <w:cols w:space="425" w:num="1"/>
          <w:docGrid w:type="linesAndChars" w:linePitch="312" w:charSpace="0"/>
        </w:sectPr>
      </w:pPr>
    </w:p>
    <w:p>
      <w:pPr>
        <w:pStyle w:val="2"/>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12298680" cy="8397240"/>
            <wp:effectExtent l="0" t="0" r="762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12298680" cy="8397240"/>
                    </a:xfrm>
                    <a:prstGeom prst="rect">
                      <a:avLst/>
                    </a:prstGeom>
                    <a:noFill/>
                    <a:ln>
                      <a:noFill/>
                    </a:ln>
                  </pic:spPr>
                </pic:pic>
              </a:graphicData>
            </a:graphic>
          </wp:inline>
        </w:drawing>
      </w:r>
    </w:p>
    <w:sectPr>
      <w:pgSz w:w="23811" w:h="16838" w:orient="landscape"/>
      <w:pgMar w:top="1797" w:right="1440" w:bottom="1797" w:left="1440" w:header="851" w:footer="992" w:gutter="0"/>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11"/>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T6L3QxAgAAZA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k+i90MQIAAGQEAAAOAAAAAAAAAAEAIAAAAB8BAABkcnMvZTJvRG9jLnhtbFBLBQYA&#10;AAAABgAGAFkBAADCBQAAAAA=&#10;">
              <v:fill on="f" focussize="0,0"/>
              <v:stroke on="f" weight="0.5pt"/>
              <v:imagedata o:title=""/>
              <o:lock v:ext="edit" aspectratio="f"/>
              <v:textbox inset="0mm,0mm,0mm,0mm" style="mso-fit-shape-to-text:t;">
                <w:txbxContent>
                  <w:p>
                    <w:pPr>
                      <w:pStyle w:val="11"/>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51765" cy="1828800"/>
              <wp:effectExtent l="0" t="0" r="0" b="0"/>
              <wp:wrapNone/>
              <wp:docPr id="1" name="文本框 8"/>
              <wp:cNvGraphicFramePr/>
              <a:graphic xmlns:a="http://schemas.openxmlformats.org/drawingml/2006/main">
                <a:graphicData uri="http://schemas.microsoft.com/office/word/2010/wordprocessingShape">
                  <wps:wsp>
                    <wps:cNvSpPr txBox="1"/>
                    <wps:spPr>
                      <a:xfrm>
                        <a:off x="0" y="0"/>
                        <a:ext cx="151765"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11"/>
                          </w:pPr>
                          <w:r>
                            <w:rPr>
                              <w:rFonts w:hint="eastAsia"/>
                            </w:rPr>
                            <w:fldChar w:fldCharType="begin"/>
                          </w:r>
                          <w:r>
                            <w:rPr>
                              <w:rFonts w:hint="eastAsia"/>
                            </w:rPr>
                            <w:instrText xml:space="preserve"> PAGE  \* MERGEFORMAT </w:instrText>
                          </w:r>
                          <w:r>
                            <w:rPr>
                              <w:rFonts w:hint="eastAsia"/>
                            </w:rPr>
                            <w:fldChar w:fldCharType="separate"/>
                          </w:r>
                          <w:r>
                            <w:t>5</w:t>
                          </w:r>
                          <w:r>
                            <w:rPr>
                              <w:rFonts w:hint="eastAsia"/>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文本框 8" o:spid="_x0000_s1026" o:spt="202" type="#_x0000_t202" style="position:absolute;left:0pt;margin-top:0pt;height:144pt;width:11.95pt;mso-position-horizontal:center;mso-position-horizontal-relative:margin;z-index:251659264;mso-width-relative:page;mso-height-relative:page;" filled="f" stroked="f" coordsize="21600,21600" o:gfxdata="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CukYk0wAAAAQBAAAPAAAAAAAAAAEAIAAAACIAAABkcnMvZG93bnJldi54&#10;bWxQSwECFAAUAAAACACHTuJAqNRZNDgCAABkBAAADgAAAAAAAAABACAAAAAiAQAAZHJzL2Uyb0Rv&#10;Yy54bWxQSwUGAAAAAAYABgBZAQAAzAUAAAAA&#10;">
              <v:fill on="f" focussize="0,0"/>
              <v:stroke on="f" weight="0.5pt"/>
              <v:imagedata o:title=""/>
              <o:lock v:ext="edit" aspectratio="f"/>
              <v:textbox inset="0mm,0mm,0mm,0mm" style="mso-fit-shape-to-text:t;">
                <w:txbxContent>
                  <w:p>
                    <w:pPr>
                      <w:pStyle w:val="11"/>
                    </w:pPr>
                    <w:r>
                      <w:rPr>
                        <w:rFonts w:hint="eastAsia"/>
                      </w:rPr>
                      <w:fldChar w:fldCharType="begin"/>
                    </w:r>
                    <w:r>
                      <w:rPr>
                        <w:rFonts w:hint="eastAsia"/>
                      </w:rPr>
                      <w:instrText xml:space="preserve"> PAGE  \* MERGEFORMAT </w:instrText>
                    </w:r>
                    <w:r>
                      <w:rPr>
                        <w:rFonts w:hint="eastAsia"/>
                      </w:rPr>
                      <w:fldChar w:fldCharType="separate"/>
                    </w:r>
                    <w:r>
                      <w:t>5</w:t>
                    </w:r>
                    <w:r>
                      <w:rPr>
                        <w:rFonts w:hint="eastAsia"/>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341630" cy="180975"/>
              <wp:effectExtent l="0" t="0" r="0" b="0"/>
              <wp:wrapNone/>
              <wp:docPr id="11" name="文本框 1"/>
              <wp:cNvGraphicFramePr/>
              <a:graphic xmlns:a="http://schemas.openxmlformats.org/drawingml/2006/main">
                <a:graphicData uri="http://schemas.microsoft.com/office/word/2010/wordprocessingShape">
                  <wps:wsp>
                    <wps:cNvSpPr txBox="1"/>
                    <wps:spPr>
                      <a:xfrm>
                        <a:off x="0" y="0"/>
                        <a:ext cx="341630" cy="18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11"/>
                          </w:pPr>
                          <w:r>
                            <w:rPr>
                              <w:rFonts w:hint="eastAsia"/>
                            </w:rPr>
                            <w:fldChar w:fldCharType="begin"/>
                          </w:r>
                          <w:r>
                            <w:rPr>
                              <w:rFonts w:hint="eastAsia"/>
                            </w:rPr>
                            <w:instrText xml:space="preserve"> PAGE  \* MERGEFORMAT </w:instrText>
                          </w:r>
                          <w:r>
                            <w:rPr>
                              <w:rFonts w:hint="eastAsia"/>
                            </w:rPr>
                            <w:fldChar w:fldCharType="separate"/>
                          </w:r>
                          <w:r>
                            <w:t>92</w:t>
                          </w:r>
                          <w:r>
                            <w:rPr>
                              <w:rFonts w:hint="eastAsia"/>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1" o:spid="_x0000_s1026" o:spt="202" type="#_x0000_t202" style="position:absolute;left:0pt;margin-top:0pt;height:14.25pt;width:26.9pt;mso-position-horizontal:center;mso-position-horizontal-relative:margin;z-index:251662336;mso-width-relative:page;mso-height-relative:page;" filled="f" stroked="f" coordsize="21600,21600" o:gfxdata="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S/Y+rTAAAAAwEAAA8AAAAAAAAAAQAgAAAAIgAAAGRycy9kb3ducmV2Lnht&#10;bFBLAQIUABQAAAAIAIdO4kDIZCUCNwIAAGQEAAAOAAAAAAAAAAEAIAAAACIBAABkcnMvZTJvRG9j&#10;LnhtbFBLBQYAAAAABgAGAFkBAADLBQAAAAA=&#10;">
              <v:fill on="f" focussize="0,0"/>
              <v:stroke on="f" weight="0.5pt"/>
              <v:imagedata o:title=""/>
              <o:lock v:ext="edit" aspectratio="f"/>
              <v:textbox inset="0mm,0mm,0mm,0mm">
                <w:txbxContent>
                  <w:p>
                    <w:pPr>
                      <w:pStyle w:val="11"/>
                    </w:pPr>
                    <w:r>
                      <w:rPr>
                        <w:rFonts w:hint="eastAsia"/>
                      </w:rPr>
                      <w:fldChar w:fldCharType="begin"/>
                    </w:r>
                    <w:r>
                      <w:rPr>
                        <w:rFonts w:hint="eastAsia"/>
                      </w:rPr>
                      <w:instrText xml:space="preserve"> PAGE  \* MERGEFORMAT </w:instrText>
                    </w:r>
                    <w:r>
                      <w:rPr>
                        <w:rFonts w:hint="eastAsia"/>
                      </w:rPr>
                      <w:fldChar w:fldCharType="separate"/>
                    </w:r>
                    <w:r>
                      <w:t>92</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341630" cy="180975"/>
              <wp:effectExtent l="0" t="0" r="0" b="0"/>
              <wp:wrapNone/>
              <wp:docPr id="8" name="文本框 6"/>
              <wp:cNvGraphicFramePr/>
              <a:graphic xmlns:a="http://schemas.openxmlformats.org/drawingml/2006/main">
                <a:graphicData uri="http://schemas.microsoft.com/office/word/2010/wordprocessingShape">
                  <wps:wsp>
                    <wps:cNvSpPr txBox="1"/>
                    <wps:spPr>
                      <a:xfrm>
                        <a:off x="0" y="0"/>
                        <a:ext cx="341630" cy="18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11"/>
                          </w:pPr>
                          <w:r>
                            <w:rPr>
                              <w:rFonts w:hint="eastAsia"/>
                            </w:rPr>
                            <w:fldChar w:fldCharType="begin"/>
                          </w:r>
                          <w:r>
                            <w:rPr>
                              <w:rFonts w:hint="eastAsia"/>
                            </w:rPr>
                            <w:instrText xml:space="preserve"> PAGE  \* MERGEFORMAT </w:instrText>
                          </w:r>
                          <w:r>
                            <w:rPr>
                              <w:rFonts w:hint="eastAsia"/>
                            </w:rPr>
                            <w:fldChar w:fldCharType="separate"/>
                          </w:r>
                          <w:r>
                            <w:t>92</w:t>
                          </w:r>
                          <w:r>
                            <w:rPr>
                              <w:rFonts w:hint="eastAsia"/>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6" o:spid="_x0000_s1026" o:spt="202" type="#_x0000_t202" style="position:absolute;left:0pt;margin-top:0pt;height:14.25pt;width:26.9pt;mso-position-horizontal:center;mso-position-horizontal-relative:margin;z-index:251660288;mso-width-relative:page;mso-height-relative:page;" filled="f" stroked="f" coordsize="21600,21600" o:gfxdata="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S/Y+rTAAAAAwEAAA8AAAAAAAAAAQAgAAAAIgAAAGRycy9kb3ducmV2Lnht&#10;bFBLAQIUABQAAAAIAIdO4kDTBQJXNwIAAGMEAAAOAAAAAAAAAAEAIAAAACIBAABkcnMvZTJvRG9j&#10;LnhtbFBLBQYAAAAABgAGAFkBAADLBQAAAAA=&#10;">
              <v:fill on="f" focussize="0,0"/>
              <v:stroke on="f" weight="0.5pt"/>
              <v:imagedata o:title=""/>
              <o:lock v:ext="edit" aspectratio="f"/>
              <v:textbox inset="0mm,0mm,0mm,0mm">
                <w:txbxContent>
                  <w:p>
                    <w:pPr>
                      <w:pStyle w:val="11"/>
                    </w:pPr>
                    <w:r>
                      <w:rPr>
                        <w:rFonts w:hint="eastAsia"/>
                      </w:rPr>
                      <w:fldChar w:fldCharType="begin"/>
                    </w:r>
                    <w:r>
                      <w:rPr>
                        <w:rFonts w:hint="eastAsia"/>
                      </w:rPr>
                      <w:instrText xml:space="preserve"> PAGE  \* MERGEFORMAT </w:instrText>
                    </w:r>
                    <w:r>
                      <w:rPr>
                        <w:rFonts w:hint="eastAsia"/>
                      </w:rPr>
                      <w:fldChar w:fldCharType="separate"/>
                    </w:r>
                    <w:r>
                      <w:t>92</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C504AE1"/>
    <w:multiLevelType w:val="singleLevel"/>
    <w:tmpl w:val="FC504AE1"/>
    <w:lvl w:ilvl="0" w:tentative="0">
      <w:start w:val="1"/>
      <w:numFmt w:val="decimal"/>
      <w:suff w:val="nothing"/>
      <w:lvlText w:val="%1、"/>
      <w:lvlJc w:val="left"/>
    </w:lvl>
  </w:abstractNum>
  <w:abstractNum w:abstractNumId="1">
    <w:nsid w:val="125FD8F1"/>
    <w:multiLevelType w:val="singleLevel"/>
    <w:tmpl w:val="125FD8F1"/>
    <w:lvl w:ilvl="0" w:tentative="0">
      <w:start w:val="2"/>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7543"/>
    <w:rsid w:val="000004B8"/>
    <w:rsid w:val="000069B7"/>
    <w:rsid w:val="000119A2"/>
    <w:rsid w:val="0001340B"/>
    <w:rsid w:val="00013D4C"/>
    <w:rsid w:val="00014618"/>
    <w:rsid w:val="00017459"/>
    <w:rsid w:val="000218FE"/>
    <w:rsid w:val="0002225E"/>
    <w:rsid w:val="00023609"/>
    <w:rsid w:val="00025E53"/>
    <w:rsid w:val="000262BB"/>
    <w:rsid w:val="000262EA"/>
    <w:rsid w:val="00027CEA"/>
    <w:rsid w:val="00027F74"/>
    <w:rsid w:val="00032FC6"/>
    <w:rsid w:val="00033DE9"/>
    <w:rsid w:val="00034CE3"/>
    <w:rsid w:val="00034E0E"/>
    <w:rsid w:val="00036B27"/>
    <w:rsid w:val="00040669"/>
    <w:rsid w:val="00040825"/>
    <w:rsid w:val="00041144"/>
    <w:rsid w:val="000422E6"/>
    <w:rsid w:val="000429C0"/>
    <w:rsid w:val="00043041"/>
    <w:rsid w:val="0004544E"/>
    <w:rsid w:val="00045BDC"/>
    <w:rsid w:val="00050DA2"/>
    <w:rsid w:val="00053AAE"/>
    <w:rsid w:val="00053BFC"/>
    <w:rsid w:val="000541ED"/>
    <w:rsid w:val="000561B4"/>
    <w:rsid w:val="00056BE5"/>
    <w:rsid w:val="00056DCA"/>
    <w:rsid w:val="000575F0"/>
    <w:rsid w:val="00062948"/>
    <w:rsid w:val="00066FBC"/>
    <w:rsid w:val="00076FE8"/>
    <w:rsid w:val="00080788"/>
    <w:rsid w:val="000809D6"/>
    <w:rsid w:val="00082384"/>
    <w:rsid w:val="00083DAD"/>
    <w:rsid w:val="00085754"/>
    <w:rsid w:val="00085E74"/>
    <w:rsid w:val="0008685C"/>
    <w:rsid w:val="000915E0"/>
    <w:rsid w:val="0009185E"/>
    <w:rsid w:val="000928CE"/>
    <w:rsid w:val="00095376"/>
    <w:rsid w:val="000967A0"/>
    <w:rsid w:val="0009686A"/>
    <w:rsid w:val="00096EE8"/>
    <w:rsid w:val="000A3B96"/>
    <w:rsid w:val="000A782E"/>
    <w:rsid w:val="000B2F33"/>
    <w:rsid w:val="000B374D"/>
    <w:rsid w:val="000B5479"/>
    <w:rsid w:val="000C18C3"/>
    <w:rsid w:val="000C1FA3"/>
    <w:rsid w:val="000C2392"/>
    <w:rsid w:val="000C2E8E"/>
    <w:rsid w:val="000C3892"/>
    <w:rsid w:val="000C561A"/>
    <w:rsid w:val="000C6861"/>
    <w:rsid w:val="000D05B5"/>
    <w:rsid w:val="000D0F38"/>
    <w:rsid w:val="000D203C"/>
    <w:rsid w:val="000D26D7"/>
    <w:rsid w:val="000D559A"/>
    <w:rsid w:val="000D665A"/>
    <w:rsid w:val="000D676B"/>
    <w:rsid w:val="000D67A8"/>
    <w:rsid w:val="000D7FB4"/>
    <w:rsid w:val="000E05B6"/>
    <w:rsid w:val="000E1011"/>
    <w:rsid w:val="000E40B3"/>
    <w:rsid w:val="000F1563"/>
    <w:rsid w:val="000F258B"/>
    <w:rsid w:val="000F49BA"/>
    <w:rsid w:val="000F50F1"/>
    <w:rsid w:val="00100C15"/>
    <w:rsid w:val="00100E58"/>
    <w:rsid w:val="00101103"/>
    <w:rsid w:val="00102B5E"/>
    <w:rsid w:val="00103EEF"/>
    <w:rsid w:val="00103F80"/>
    <w:rsid w:val="001056A7"/>
    <w:rsid w:val="00105A41"/>
    <w:rsid w:val="00113166"/>
    <w:rsid w:val="00114357"/>
    <w:rsid w:val="00116151"/>
    <w:rsid w:val="001173F2"/>
    <w:rsid w:val="001203D4"/>
    <w:rsid w:val="00122DB3"/>
    <w:rsid w:val="00122E1F"/>
    <w:rsid w:val="00123D37"/>
    <w:rsid w:val="00127647"/>
    <w:rsid w:val="00130CD7"/>
    <w:rsid w:val="00131769"/>
    <w:rsid w:val="0013406A"/>
    <w:rsid w:val="00134F41"/>
    <w:rsid w:val="00136E3D"/>
    <w:rsid w:val="00143CF7"/>
    <w:rsid w:val="00144542"/>
    <w:rsid w:val="001529E5"/>
    <w:rsid w:val="001542B6"/>
    <w:rsid w:val="00160761"/>
    <w:rsid w:val="0016106C"/>
    <w:rsid w:val="001621D4"/>
    <w:rsid w:val="00163E2F"/>
    <w:rsid w:val="00163E98"/>
    <w:rsid w:val="001679D7"/>
    <w:rsid w:val="00170093"/>
    <w:rsid w:val="00171B3C"/>
    <w:rsid w:val="00172978"/>
    <w:rsid w:val="0017330E"/>
    <w:rsid w:val="00174BB6"/>
    <w:rsid w:val="001755A4"/>
    <w:rsid w:val="00176BF7"/>
    <w:rsid w:val="00177102"/>
    <w:rsid w:val="00177B4D"/>
    <w:rsid w:val="00181C19"/>
    <w:rsid w:val="00182133"/>
    <w:rsid w:val="00182AD8"/>
    <w:rsid w:val="0018344F"/>
    <w:rsid w:val="001859F4"/>
    <w:rsid w:val="00187AFC"/>
    <w:rsid w:val="00190080"/>
    <w:rsid w:val="001906E1"/>
    <w:rsid w:val="00197564"/>
    <w:rsid w:val="001A0406"/>
    <w:rsid w:val="001A0737"/>
    <w:rsid w:val="001A33F5"/>
    <w:rsid w:val="001A5013"/>
    <w:rsid w:val="001A5616"/>
    <w:rsid w:val="001B07EA"/>
    <w:rsid w:val="001B2BC6"/>
    <w:rsid w:val="001B3CE6"/>
    <w:rsid w:val="001B5443"/>
    <w:rsid w:val="001C1070"/>
    <w:rsid w:val="001C4CA1"/>
    <w:rsid w:val="001C5CB5"/>
    <w:rsid w:val="001C60B9"/>
    <w:rsid w:val="001C7FB5"/>
    <w:rsid w:val="001D235A"/>
    <w:rsid w:val="001D27E8"/>
    <w:rsid w:val="001D75FC"/>
    <w:rsid w:val="001E2327"/>
    <w:rsid w:val="001E292E"/>
    <w:rsid w:val="001F10AB"/>
    <w:rsid w:val="001F1BF8"/>
    <w:rsid w:val="001F417B"/>
    <w:rsid w:val="001F4B95"/>
    <w:rsid w:val="001F50E1"/>
    <w:rsid w:val="0020193D"/>
    <w:rsid w:val="00202174"/>
    <w:rsid w:val="002025F5"/>
    <w:rsid w:val="0020308E"/>
    <w:rsid w:val="002037DE"/>
    <w:rsid w:val="00203DC3"/>
    <w:rsid w:val="002045C5"/>
    <w:rsid w:val="0020627B"/>
    <w:rsid w:val="00207BD6"/>
    <w:rsid w:val="002106DD"/>
    <w:rsid w:val="002127B2"/>
    <w:rsid w:val="00215993"/>
    <w:rsid w:val="00216BF3"/>
    <w:rsid w:val="0021779B"/>
    <w:rsid w:val="00217E55"/>
    <w:rsid w:val="002203E4"/>
    <w:rsid w:val="00220CD3"/>
    <w:rsid w:val="00221354"/>
    <w:rsid w:val="00223AE6"/>
    <w:rsid w:val="00224AC1"/>
    <w:rsid w:val="00225DEA"/>
    <w:rsid w:val="00226B46"/>
    <w:rsid w:val="00227A34"/>
    <w:rsid w:val="00230CD5"/>
    <w:rsid w:val="00231D2F"/>
    <w:rsid w:val="002336CB"/>
    <w:rsid w:val="0023371A"/>
    <w:rsid w:val="00235C65"/>
    <w:rsid w:val="00237A35"/>
    <w:rsid w:val="00237F49"/>
    <w:rsid w:val="00240733"/>
    <w:rsid w:val="00242806"/>
    <w:rsid w:val="00244945"/>
    <w:rsid w:val="00246589"/>
    <w:rsid w:val="00250340"/>
    <w:rsid w:val="00252185"/>
    <w:rsid w:val="00255ADC"/>
    <w:rsid w:val="0025664C"/>
    <w:rsid w:val="00261278"/>
    <w:rsid w:val="00262889"/>
    <w:rsid w:val="0026632E"/>
    <w:rsid w:val="00267F9C"/>
    <w:rsid w:val="0027265D"/>
    <w:rsid w:val="0027380F"/>
    <w:rsid w:val="002803D1"/>
    <w:rsid w:val="002818C0"/>
    <w:rsid w:val="00282AA8"/>
    <w:rsid w:val="00282CAD"/>
    <w:rsid w:val="00283692"/>
    <w:rsid w:val="00284C08"/>
    <w:rsid w:val="002870FE"/>
    <w:rsid w:val="00287192"/>
    <w:rsid w:val="00291AFB"/>
    <w:rsid w:val="00295671"/>
    <w:rsid w:val="00297AC4"/>
    <w:rsid w:val="00297E9A"/>
    <w:rsid w:val="002A006E"/>
    <w:rsid w:val="002A1B96"/>
    <w:rsid w:val="002A7C48"/>
    <w:rsid w:val="002A7CC4"/>
    <w:rsid w:val="002B34CC"/>
    <w:rsid w:val="002B6210"/>
    <w:rsid w:val="002B653D"/>
    <w:rsid w:val="002C294B"/>
    <w:rsid w:val="002C2A38"/>
    <w:rsid w:val="002C345B"/>
    <w:rsid w:val="002C53AE"/>
    <w:rsid w:val="002C5F16"/>
    <w:rsid w:val="002C6251"/>
    <w:rsid w:val="002C6A84"/>
    <w:rsid w:val="002D0D32"/>
    <w:rsid w:val="002D334E"/>
    <w:rsid w:val="002D3EAF"/>
    <w:rsid w:val="002D65E4"/>
    <w:rsid w:val="002D6679"/>
    <w:rsid w:val="002D7D8A"/>
    <w:rsid w:val="002E02D3"/>
    <w:rsid w:val="002E104F"/>
    <w:rsid w:val="002F0E5C"/>
    <w:rsid w:val="002F2493"/>
    <w:rsid w:val="00300CAD"/>
    <w:rsid w:val="003039D3"/>
    <w:rsid w:val="00303CB7"/>
    <w:rsid w:val="00306202"/>
    <w:rsid w:val="00306466"/>
    <w:rsid w:val="00306859"/>
    <w:rsid w:val="00306F1B"/>
    <w:rsid w:val="00307534"/>
    <w:rsid w:val="00307960"/>
    <w:rsid w:val="00310261"/>
    <w:rsid w:val="00311483"/>
    <w:rsid w:val="003120A5"/>
    <w:rsid w:val="00314EE9"/>
    <w:rsid w:val="00320354"/>
    <w:rsid w:val="00321D6D"/>
    <w:rsid w:val="0032394C"/>
    <w:rsid w:val="00325AD2"/>
    <w:rsid w:val="00325CC2"/>
    <w:rsid w:val="0033054B"/>
    <w:rsid w:val="00331C35"/>
    <w:rsid w:val="003324A8"/>
    <w:rsid w:val="003329FC"/>
    <w:rsid w:val="00334373"/>
    <w:rsid w:val="00341EF6"/>
    <w:rsid w:val="00342FC1"/>
    <w:rsid w:val="00347574"/>
    <w:rsid w:val="00347B6D"/>
    <w:rsid w:val="003517CA"/>
    <w:rsid w:val="00352EA0"/>
    <w:rsid w:val="00354CA4"/>
    <w:rsid w:val="00355E43"/>
    <w:rsid w:val="00356502"/>
    <w:rsid w:val="003569D3"/>
    <w:rsid w:val="00356D05"/>
    <w:rsid w:val="003631E8"/>
    <w:rsid w:val="0036392B"/>
    <w:rsid w:val="0036458A"/>
    <w:rsid w:val="00364C15"/>
    <w:rsid w:val="00364D2B"/>
    <w:rsid w:val="00365EB7"/>
    <w:rsid w:val="00366F98"/>
    <w:rsid w:val="003678F0"/>
    <w:rsid w:val="00370F7A"/>
    <w:rsid w:val="003720FB"/>
    <w:rsid w:val="00375985"/>
    <w:rsid w:val="00375C2C"/>
    <w:rsid w:val="00375FA2"/>
    <w:rsid w:val="00380173"/>
    <w:rsid w:val="00381DCC"/>
    <w:rsid w:val="003833F2"/>
    <w:rsid w:val="00383ABE"/>
    <w:rsid w:val="00384BD4"/>
    <w:rsid w:val="00384E5A"/>
    <w:rsid w:val="0038587E"/>
    <w:rsid w:val="003876DC"/>
    <w:rsid w:val="00387923"/>
    <w:rsid w:val="0039231B"/>
    <w:rsid w:val="00393395"/>
    <w:rsid w:val="003956A6"/>
    <w:rsid w:val="00395957"/>
    <w:rsid w:val="00395E24"/>
    <w:rsid w:val="00395E6F"/>
    <w:rsid w:val="00395F9B"/>
    <w:rsid w:val="00397930"/>
    <w:rsid w:val="003A22BD"/>
    <w:rsid w:val="003A256C"/>
    <w:rsid w:val="003A2A67"/>
    <w:rsid w:val="003A2DAD"/>
    <w:rsid w:val="003A52C6"/>
    <w:rsid w:val="003A6659"/>
    <w:rsid w:val="003A702E"/>
    <w:rsid w:val="003A7D91"/>
    <w:rsid w:val="003B3CE4"/>
    <w:rsid w:val="003B6CE2"/>
    <w:rsid w:val="003C23FC"/>
    <w:rsid w:val="003C2780"/>
    <w:rsid w:val="003C5494"/>
    <w:rsid w:val="003C59BE"/>
    <w:rsid w:val="003D35BF"/>
    <w:rsid w:val="003D4BE0"/>
    <w:rsid w:val="003D4CDD"/>
    <w:rsid w:val="003D50B6"/>
    <w:rsid w:val="003D5C0A"/>
    <w:rsid w:val="003E07C8"/>
    <w:rsid w:val="003E0ACD"/>
    <w:rsid w:val="003E105E"/>
    <w:rsid w:val="003E4A46"/>
    <w:rsid w:val="003E619E"/>
    <w:rsid w:val="003F2549"/>
    <w:rsid w:val="003F261F"/>
    <w:rsid w:val="003F33E7"/>
    <w:rsid w:val="003F413C"/>
    <w:rsid w:val="00400A55"/>
    <w:rsid w:val="00401CDB"/>
    <w:rsid w:val="0040257B"/>
    <w:rsid w:val="004041A5"/>
    <w:rsid w:val="0040556A"/>
    <w:rsid w:val="00405C41"/>
    <w:rsid w:val="00405D47"/>
    <w:rsid w:val="004145FB"/>
    <w:rsid w:val="00414D10"/>
    <w:rsid w:val="00416A73"/>
    <w:rsid w:val="0042034F"/>
    <w:rsid w:val="00420EAD"/>
    <w:rsid w:val="00420EBD"/>
    <w:rsid w:val="0042359D"/>
    <w:rsid w:val="004250D6"/>
    <w:rsid w:val="00426B09"/>
    <w:rsid w:val="00426EA9"/>
    <w:rsid w:val="004302DF"/>
    <w:rsid w:val="004354C1"/>
    <w:rsid w:val="00437902"/>
    <w:rsid w:val="00437D84"/>
    <w:rsid w:val="00440A6F"/>
    <w:rsid w:val="004448B1"/>
    <w:rsid w:val="0044572B"/>
    <w:rsid w:val="00447204"/>
    <w:rsid w:val="0045097D"/>
    <w:rsid w:val="00451CE9"/>
    <w:rsid w:val="0045266D"/>
    <w:rsid w:val="00456A42"/>
    <w:rsid w:val="00456D6E"/>
    <w:rsid w:val="004572DC"/>
    <w:rsid w:val="004618DF"/>
    <w:rsid w:val="004622B2"/>
    <w:rsid w:val="004638A7"/>
    <w:rsid w:val="004644F7"/>
    <w:rsid w:val="00467FE9"/>
    <w:rsid w:val="00470AC8"/>
    <w:rsid w:val="00470CC1"/>
    <w:rsid w:val="0047352F"/>
    <w:rsid w:val="0047374E"/>
    <w:rsid w:val="00483DE6"/>
    <w:rsid w:val="004849BF"/>
    <w:rsid w:val="00484D76"/>
    <w:rsid w:val="00484E48"/>
    <w:rsid w:val="00486FA5"/>
    <w:rsid w:val="00487ABA"/>
    <w:rsid w:val="0049140F"/>
    <w:rsid w:val="0049181F"/>
    <w:rsid w:val="00491F3B"/>
    <w:rsid w:val="00494F25"/>
    <w:rsid w:val="0049548B"/>
    <w:rsid w:val="00495C0A"/>
    <w:rsid w:val="0049625E"/>
    <w:rsid w:val="004A0054"/>
    <w:rsid w:val="004A085D"/>
    <w:rsid w:val="004A2331"/>
    <w:rsid w:val="004A27F9"/>
    <w:rsid w:val="004A3326"/>
    <w:rsid w:val="004A42D3"/>
    <w:rsid w:val="004B12DC"/>
    <w:rsid w:val="004B4BA7"/>
    <w:rsid w:val="004B4DB5"/>
    <w:rsid w:val="004C1C45"/>
    <w:rsid w:val="004C1E18"/>
    <w:rsid w:val="004C1F55"/>
    <w:rsid w:val="004C2162"/>
    <w:rsid w:val="004C2828"/>
    <w:rsid w:val="004C44E6"/>
    <w:rsid w:val="004C4731"/>
    <w:rsid w:val="004C5ECA"/>
    <w:rsid w:val="004D177A"/>
    <w:rsid w:val="004D4C28"/>
    <w:rsid w:val="004D4E3F"/>
    <w:rsid w:val="004D5396"/>
    <w:rsid w:val="004D58A6"/>
    <w:rsid w:val="004D61B5"/>
    <w:rsid w:val="004D6235"/>
    <w:rsid w:val="004D646B"/>
    <w:rsid w:val="004D6CAE"/>
    <w:rsid w:val="004D6F31"/>
    <w:rsid w:val="004E00F6"/>
    <w:rsid w:val="004F08FD"/>
    <w:rsid w:val="004F11CC"/>
    <w:rsid w:val="004F1C45"/>
    <w:rsid w:val="004F227E"/>
    <w:rsid w:val="004F36E8"/>
    <w:rsid w:val="004F38D4"/>
    <w:rsid w:val="004F3B2B"/>
    <w:rsid w:val="004F726D"/>
    <w:rsid w:val="0050246F"/>
    <w:rsid w:val="00502A04"/>
    <w:rsid w:val="00505B30"/>
    <w:rsid w:val="005114BC"/>
    <w:rsid w:val="00511992"/>
    <w:rsid w:val="00512FF1"/>
    <w:rsid w:val="00513DEE"/>
    <w:rsid w:val="00514F9B"/>
    <w:rsid w:val="00516D04"/>
    <w:rsid w:val="005230A2"/>
    <w:rsid w:val="005240BC"/>
    <w:rsid w:val="0052472A"/>
    <w:rsid w:val="00524896"/>
    <w:rsid w:val="00524F89"/>
    <w:rsid w:val="00527A5A"/>
    <w:rsid w:val="0053030E"/>
    <w:rsid w:val="00530577"/>
    <w:rsid w:val="00531157"/>
    <w:rsid w:val="005317F1"/>
    <w:rsid w:val="00536F1C"/>
    <w:rsid w:val="005428F7"/>
    <w:rsid w:val="005442B7"/>
    <w:rsid w:val="00544BD8"/>
    <w:rsid w:val="005463F0"/>
    <w:rsid w:val="00546C83"/>
    <w:rsid w:val="00546E0E"/>
    <w:rsid w:val="00554999"/>
    <w:rsid w:val="00561D67"/>
    <w:rsid w:val="0056275D"/>
    <w:rsid w:val="00564730"/>
    <w:rsid w:val="00567C91"/>
    <w:rsid w:val="00571523"/>
    <w:rsid w:val="005732A2"/>
    <w:rsid w:val="00573B31"/>
    <w:rsid w:val="00573E13"/>
    <w:rsid w:val="00573F42"/>
    <w:rsid w:val="00574350"/>
    <w:rsid w:val="005779D2"/>
    <w:rsid w:val="00577CE0"/>
    <w:rsid w:val="005803F3"/>
    <w:rsid w:val="00582316"/>
    <w:rsid w:val="005852B0"/>
    <w:rsid w:val="00585705"/>
    <w:rsid w:val="00586732"/>
    <w:rsid w:val="005868BA"/>
    <w:rsid w:val="005917A7"/>
    <w:rsid w:val="00593479"/>
    <w:rsid w:val="00595175"/>
    <w:rsid w:val="00596D9F"/>
    <w:rsid w:val="00597E7F"/>
    <w:rsid w:val="005A044C"/>
    <w:rsid w:val="005A0800"/>
    <w:rsid w:val="005A13FB"/>
    <w:rsid w:val="005A345C"/>
    <w:rsid w:val="005A48AB"/>
    <w:rsid w:val="005A4B7B"/>
    <w:rsid w:val="005A4CFD"/>
    <w:rsid w:val="005A4F10"/>
    <w:rsid w:val="005A7393"/>
    <w:rsid w:val="005B1093"/>
    <w:rsid w:val="005B1F9D"/>
    <w:rsid w:val="005B2AC4"/>
    <w:rsid w:val="005B2F70"/>
    <w:rsid w:val="005B38B6"/>
    <w:rsid w:val="005B3B69"/>
    <w:rsid w:val="005B62E5"/>
    <w:rsid w:val="005C01A9"/>
    <w:rsid w:val="005C0928"/>
    <w:rsid w:val="005C15EF"/>
    <w:rsid w:val="005C22AF"/>
    <w:rsid w:val="005C2C05"/>
    <w:rsid w:val="005C727F"/>
    <w:rsid w:val="005C7342"/>
    <w:rsid w:val="005D2C00"/>
    <w:rsid w:val="005D32D9"/>
    <w:rsid w:val="005D4820"/>
    <w:rsid w:val="005D6FDF"/>
    <w:rsid w:val="005E1051"/>
    <w:rsid w:val="005E1C3D"/>
    <w:rsid w:val="005E1D20"/>
    <w:rsid w:val="005E2676"/>
    <w:rsid w:val="005E2724"/>
    <w:rsid w:val="005E6D6F"/>
    <w:rsid w:val="005F3217"/>
    <w:rsid w:val="005F4227"/>
    <w:rsid w:val="005F44E4"/>
    <w:rsid w:val="005F68E8"/>
    <w:rsid w:val="00600CFD"/>
    <w:rsid w:val="006014AF"/>
    <w:rsid w:val="00602664"/>
    <w:rsid w:val="00604149"/>
    <w:rsid w:val="00605ABF"/>
    <w:rsid w:val="006107E6"/>
    <w:rsid w:val="0061080D"/>
    <w:rsid w:val="006145F5"/>
    <w:rsid w:val="00616329"/>
    <w:rsid w:val="00617FAD"/>
    <w:rsid w:val="00620489"/>
    <w:rsid w:val="00620BDA"/>
    <w:rsid w:val="00623061"/>
    <w:rsid w:val="0062452E"/>
    <w:rsid w:val="00625BBA"/>
    <w:rsid w:val="006263C7"/>
    <w:rsid w:val="006275F7"/>
    <w:rsid w:val="006316C1"/>
    <w:rsid w:val="00631FEC"/>
    <w:rsid w:val="006333E3"/>
    <w:rsid w:val="00634A4E"/>
    <w:rsid w:val="00636A88"/>
    <w:rsid w:val="00640D6B"/>
    <w:rsid w:val="00642F53"/>
    <w:rsid w:val="00644388"/>
    <w:rsid w:val="0064627C"/>
    <w:rsid w:val="00646C30"/>
    <w:rsid w:val="00646E50"/>
    <w:rsid w:val="006479CC"/>
    <w:rsid w:val="00650837"/>
    <w:rsid w:val="00651536"/>
    <w:rsid w:val="006520AF"/>
    <w:rsid w:val="00652227"/>
    <w:rsid w:val="0065256C"/>
    <w:rsid w:val="006529E1"/>
    <w:rsid w:val="0065374B"/>
    <w:rsid w:val="006574D0"/>
    <w:rsid w:val="00660D5C"/>
    <w:rsid w:val="00661745"/>
    <w:rsid w:val="006625A3"/>
    <w:rsid w:val="00662D76"/>
    <w:rsid w:val="00663793"/>
    <w:rsid w:val="00664241"/>
    <w:rsid w:val="0066514E"/>
    <w:rsid w:val="006653A0"/>
    <w:rsid w:val="00665D1F"/>
    <w:rsid w:val="00667870"/>
    <w:rsid w:val="00670D69"/>
    <w:rsid w:val="00671449"/>
    <w:rsid w:val="006753B9"/>
    <w:rsid w:val="0068060E"/>
    <w:rsid w:val="0068283C"/>
    <w:rsid w:val="00683228"/>
    <w:rsid w:val="00686D44"/>
    <w:rsid w:val="006962D1"/>
    <w:rsid w:val="00696FDA"/>
    <w:rsid w:val="00697038"/>
    <w:rsid w:val="006A16E0"/>
    <w:rsid w:val="006A1E52"/>
    <w:rsid w:val="006A4225"/>
    <w:rsid w:val="006A51FC"/>
    <w:rsid w:val="006B48DB"/>
    <w:rsid w:val="006B4AB9"/>
    <w:rsid w:val="006B5036"/>
    <w:rsid w:val="006C147B"/>
    <w:rsid w:val="006C14CA"/>
    <w:rsid w:val="006C35CC"/>
    <w:rsid w:val="006C3B32"/>
    <w:rsid w:val="006C4FCE"/>
    <w:rsid w:val="006C5D9A"/>
    <w:rsid w:val="006C7912"/>
    <w:rsid w:val="006C7B1F"/>
    <w:rsid w:val="006D5645"/>
    <w:rsid w:val="006D6CE2"/>
    <w:rsid w:val="006D74EB"/>
    <w:rsid w:val="006D7BC5"/>
    <w:rsid w:val="006E2983"/>
    <w:rsid w:val="006E2B87"/>
    <w:rsid w:val="006E364C"/>
    <w:rsid w:val="006E37BC"/>
    <w:rsid w:val="006E45DD"/>
    <w:rsid w:val="006E52A8"/>
    <w:rsid w:val="006E649D"/>
    <w:rsid w:val="006E70D8"/>
    <w:rsid w:val="006E7550"/>
    <w:rsid w:val="006E7CD5"/>
    <w:rsid w:val="006F02A8"/>
    <w:rsid w:val="006F0F5F"/>
    <w:rsid w:val="006F2577"/>
    <w:rsid w:val="006F5942"/>
    <w:rsid w:val="00700315"/>
    <w:rsid w:val="00705705"/>
    <w:rsid w:val="0070585E"/>
    <w:rsid w:val="00705A88"/>
    <w:rsid w:val="00705E64"/>
    <w:rsid w:val="00710916"/>
    <w:rsid w:val="0071131F"/>
    <w:rsid w:val="00711985"/>
    <w:rsid w:val="007127F3"/>
    <w:rsid w:val="00712BA5"/>
    <w:rsid w:val="0071721D"/>
    <w:rsid w:val="0072075E"/>
    <w:rsid w:val="0072211E"/>
    <w:rsid w:val="00724271"/>
    <w:rsid w:val="00724E71"/>
    <w:rsid w:val="0072509E"/>
    <w:rsid w:val="0072655C"/>
    <w:rsid w:val="00726605"/>
    <w:rsid w:val="00731737"/>
    <w:rsid w:val="0073439A"/>
    <w:rsid w:val="00737860"/>
    <w:rsid w:val="00737EEA"/>
    <w:rsid w:val="00742C5E"/>
    <w:rsid w:val="00742D27"/>
    <w:rsid w:val="00744B7D"/>
    <w:rsid w:val="0075052F"/>
    <w:rsid w:val="007524AE"/>
    <w:rsid w:val="007529DC"/>
    <w:rsid w:val="0075323E"/>
    <w:rsid w:val="00754157"/>
    <w:rsid w:val="00757973"/>
    <w:rsid w:val="00760246"/>
    <w:rsid w:val="007615B7"/>
    <w:rsid w:val="00762678"/>
    <w:rsid w:val="00762C5B"/>
    <w:rsid w:val="00763F7B"/>
    <w:rsid w:val="0076477C"/>
    <w:rsid w:val="0076567D"/>
    <w:rsid w:val="007656A8"/>
    <w:rsid w:val="00765F4F"/>
    <w:rsid w:val="007723B4"/>
    <w:rsid w:val="00775E69"/>
    <w:rsid w:val="007768A1"/>
    <w:rsid w:val="0078007A"/>
    <w:rsid w:val="00780D37"/>
    <w:rsid w:val="00780DA3"/>
    <w:rsid w:val="0078276B"/>
    <w:rsid w:val="00783327"/>
    <w:rsid w:val="007871CC"/>
    <w:rsid w:val="007909D0"/>
    <w:rsid w:val="00791B8C"/>
    <w:rsid w:val="0079265B"/>
    <w:rsid w:val="007927DC"/>
    <w:rsid w:val="00795A76"/>
    <w:rsid w:val="00795B02"/>
    <w:rsid w:val="00795C2C"/>
    <w:rsid w:val="00795C7D"/>
    <w:rsid w:val="00795CFE"/>
    <w:rsid w:val="007960AF"/>
    <w:rsid w:val="00797774"/>
    <w:rsid w:val="00797FEF"/>
    <w:rsid w:val="007A1741"/>
    <w:rsid w:val="007A1987"/>
    <w:rsid w:val="007A230A"/>
    <w:rsid w:val="007A6194"/>
    <w:rsid w:val="007A645C"/>
    <w:rsid w:val="007A785C"/>
    <w:rsid w:val="007A7EFD"/>
    <w:rsid w:val="007B0962"/>
    <w:rsid w:val="007B4346"/>
    <w:rsid w:val="007B4C35"/>
    <w:rsid w:val="007B718B"/>
    <w:rsid w:val="007C174E"/>
    <w:rsid w:val="007C1763"/>
    <w:rsid w:val="007C27EA"/>
    <w:rsid w:val="007C2A1A"/>
    <w:rsid w:val="007C30F4"/>
    <w:rsid w:val="007C7662"/>
    <w:rsid w:val="007D24C9"/>
    <w:rsid w:val="007D288B"/>
    <w:rsid w:val="007D3427"/>
    <w:rsid w:val="007D5880"/>
    <w:rsid w:val="007D7ACA"/>
    <w:rsid w:val="007E3164"/>
    <w:rsid w:val="007E5606"/>
    <w:rsid w:val="007F1A4B"/>
    <w:rsid w:val="007F4EE4"/>
    <w:rsid w:val="007F61A7"/>
    <w:rsid w:val="007F638A"/>
    <w:rsid w:val="007F7236"/>
    <w:rsid w:val="00800712"/>
    <w:rsid w:val="008017C1"/>
    <w:rsid w:val="00802A61"/>
    <w:rsid w:val="00802DCD"/>
    <w:rsid w:val="008034CB"/>
    <w:rsid w:val="0080405C"/>
    <w:rsid w:val="00804587"/>
    <w:rsid w:val="00805ECE"/>
    <w:rsid w:val="00806540"/>
    <w:rsid w:val="00807290"/>
    <w:rsid w:val="00810BF0"/>
    <w:rsid w:val="00811468"/>
    <w:rsid w:val="008119F1"/>
    <w:rsid w:val="00812A30"/>
    <w:rsid w:val="0081454B"/>
    <w:rsid w:val="00815727"/>
    <w:rsid w:val="00815FFD"/>
    <w:rsid w:val="00817D25"/>
    <w:rsid w:val="00820155"/>
    <w:rsid w:val="00821E0D"/>
    <w:rsid w:val="008236DF"/>
    <w:rsid w:val="0082439A"/>
    <w:rsid w:val="00825BEF"/>
    <w:rsid w:val="00825DF5"/>
    <w:rsid w:val="00826C26"/>
    <w:rsid w:val="00833FE3"/>
    <w:rsid w:val="00837FFD"/>
    <w:rsid w:val="00840CD9"/>
    <w:rsid w:val="0084302D"/>
    <w:rsid w:val="00844B86"/>
    <w:rsid w:val="00845093"/>
    <w:rsid w:val="00851836"/>
    <w:rsid w:val="008523C7"/>
    <w:rsid w:val="00852A8D"/>
    <w:rsid w:val="00852F54"/>
    <w:rsid w:val="00855374"/>
    <w:rsid w:val="0085782B"/>
    <w:rsid w:val="00860AE6"/>
    <w:rsid w:val="00864366"/>
    <w:rsid w:val="0086521C"/>
    <w:rsid w:val="00866759"/>
    <w:rsid w:val="008667CE"/>
    <w:rsid w:val="00872E5C"/>
    <w:rsid w:val="008746A9"/>
    <w:rsid w:val="0087516D"/>
    <w:rsid w:val="008757D4"/>
    <w:rsid w:val="00875858"/>
    <w:rsid w:val="0087631E"/>
    <w:rsid w:val="00876978"/>
    <w:rsid w:val="008800CF"/>
    <w:rsid w:val="00883215"/>
    <w:rsid w:val="00883331"/>
    <w:rsid w:val="008835E3"/>
    <w:rsid w:val="00885424"/>
    <w:rsid w:val="00885A0A"/>
    <w:rsid w:val="00886519"/>
    <w:rsid w:val="008867E8"/>
    <w:rsid w:val="008867F7"/>
    <w:rsid w:val="0088746C"/>
    <w:rsid w:val="00890E5B"/>
    <w:rsid w:val="00892BD9"/>
    <w:rsid w:val="008935AD"/>
    <w:rsid w:val="008A0C00"/>
    <w:rsid w:val="008A32DD"/>
    <w:rsid w:val="008A4ADC"/>
    <w:rsid w:val="008A57FD"/>
    <w:rsid w:val="008A6669"/>
    <w:rsid w:val="008A66CE"/>
    <w:rsid w:val="008B0136"/>
    <w:rsid w:val="008B06AE"/>
    <w:rsid w:val="008B3C59"/>
    <w:rsid w:val="008B4245"/>
    <w:rsid w:val="008B657A"/>
    <w:rsid w:val="008C1B21"/>
    <w:rsid w:val="008C36CB"/>
    <w:rsid w:val="008C481B"/>
    <w:rsid w:val="008D0DFB"/>
    <w:rsid w:val="008D1A04"/>
    <w:rsid w:val="008D1AD2"/>
    <w:rsid w:val="008D2A05"/>
    <w:rsid w:val="008D31F0"/>
    <w:rsid w:val="008D3E39"/>
    <w:rsid w:val="008D4DB3"/>
    <w:rsid w:val="008D69CC"/>
    <w:rsid w:val="008E08F0"/>
    <w:rsid w:val="008E1AD0"/>
    <w:rsid w:val="008E396B"/>
    <w:rsid w:val="008E6322"/>
    <w:rsid w:val="008E7ED9"/>
    <w:rsid w:val="008F0433"/>
    <w:rsid w:val="008F2282"/>
    <w:rsid w:val="008F511D"/>
    <w:rsid w:val="008F549B"/>
    <w:rsid w:val="009039C4"/>
    <w:rsid w:val="00904BC9"/>
    <w:rsid w:val="0090565A"/>
    <w:rsid w:val="00905EAE"/>
    <w:rsid w:val="00907521"/>
    <w:rsid w:val="00907B71"/>
    <w:rsid w:val="009106E2"/>
    <w:rsid w:val="00913E1F"/>
    <w:rsid w:val="00914FB1"/>
    <w:rsid w:val="009164E0"/>
    <w:rsid w:val="00922257"/>
    <w:rsid w:val="009223A0"/>
    <w:rsid w:val="00923923"/>
    <w:rsid w:val="00923CBE"/>
    <w:rsid w:val="00924172"/>
    <w:rsid w:val="00926B0E"/>
    <w:rsid w:val="009314D3"/>
    <w:rsid w:val="00932C7A"/>
    <w:rsid w:val="00934467"/>
    <w:rsid w:val="009444F1"/>
    <w:rsid w:val="009466A9"/>
    <w:rsid w:val="00947BA7"/>
    <w:rsid w:val="00950265"/>
    <w:rsid w:val="00950321"/>
    <w:rsid w:val="0095052A"/>
    <w:rsid w:val="00954D14"/>
    <w:rsid w:val="00957697"/>
    <w:rsid w:val="00961061"/>
    <w:rsid w:val="00963FEC"/>
    <w:rsid w:val="00964843"/>
    <w:rsid w:val="00964D48"/>
    <w:rsid w:val="009736B9"/>
    <w:rsid w:val="00973E59"/>
    <w:rsid w:val="0097783B"/>
    <w:rsid w:val="00980525"/>
    <w:rsid w:val="00981E05"/>
    <w:rsid w:val="00982458"/>
    <w:rsid w:val="0098300B"/>
    <w:rsid w:val="009833DD"/>
    <w:rsid w:val="00983BBC"/>
    <w:rsid w:val="0098491F"/>
    <w:rsid w:val="00986672"/>
    <w:rsid w:val="00990237"/>
    <w:rsid w:val="00990653"/>
    <w:rsid w:val="00992049"/>
    <w:rsid w:val="0099628D"/>
    <w:rsid w:val="009A0417"/>
    <w:rsid w:val="009A0BA1"/>
    <w:rsid w:val="009A2BA4"/>
    <w:rsid w:val="009A35BB"/>
    <w:rsid w:val="009A3ED5"/>
    <w:rsid w:val="009A3F76"/>
    <w:rsid w:val="009A6C59"/>
    <w:rsid w:val="009C23DF"/>
    <w:rsid w:val="009C5B6A"/>
    <w:rsid w:val="009C7BEF"/>
    <w:rsid w:val="009D1EE6"/>
    <w:rsid w:val="009D2B07"/>
    <w:rsid w:val="009D4E10"/>
    <w:rsid w:val="009D72AA"/>
    <w:rsid w:val="009E0FB7"/>
    <w:rsid w:val="009E1147"/>
    <w:rsid w:val="009E27C1"/>
    <w:rsid w:val="009E40BC"/>
    <w:rsid w:val="009E59FD"/>
    <w:rsid w:val="009E5A01"/>
    <w:rsid w:val="009E5EC1"/>
    <w:rsid w:val="009E7B3F"/>
    <w:rsid w:val="009F0B32"/>
    <w:rsid w:val="009F1666"/>
    <w:rsid w:val="009F2401"/>
    <w:rsid w:val="009F289B"/>
    <w:rsid w:val="009F2E21"/>
    <w:rsid w:val="009F4A7A"/>
    <w:rsid w:val="009F543F"/>
    <w:rsid w:val="009F5F4D"/>
    <w:rsid w:val="009F6666"/>
    <w:rsid w:val="009F686D"/>
    <w:rsid w:val="00A001A8"/>
    <w:rsid w:val="00A012C1"/>
    <w:rsid w:val="00A0338B"/>
    <w:rsid w:val="00A05CF1"/>
    <w:rsid w:val="00A120C4"/>
    <w:rsid w:val="00A23063"/>
    <w:rsid w:val="00A23099"/>
    <w:rsid w:val="00A23D6E"/>
    <w:rsid w:val="00A27399"/>
    <w:rsid w:val="00A321BE"/>
    <w:rsid w:val="00A33FA5"/>
    <w:rsid w:val="00A3611A"/>
    <w:rsid w:val="00A4172C"/>
    <w:rsid w:val="00A42964"/>
    <w:rsid w:val="00A432EE"/>
    <w:rsid w:val="00A433AD"/>
    <w:rsid w:val="00A43A18"/>
    <w:rsid w:val="00A44D11"/>
    <w:rsid w:val="00A456AD"/>
    <w:rsid w:val="00A46B8A"/>
    <w:rsid w:val="00A46EDC"/>
    <w:rsid w:val="00A47F9F"/>
    <w:rsid w:val="00A52320"/>
    <w:rsid w:val="00A53025"/>
    <w:rsid w:val="00A541C1"/>
    <w:rsid w:val="00A556E4"/>
    <w:rsid w:val="00A615DA"/>
    <w:rsid w:val="00A61911"/>
    <w:rsid w:val="00A67F4B"/>
    <w:rsid w:val="00A7005C"/>
    <w:rsid w:val="00A70FD5"/>
    <w:rsid w:val="00A75272"/>
    <w:rsid w:val="00A75E14"/>
    <w:rsid w:val="00A816A1"/>
    <w:rsid w:val="00A82478"/>
    <w:rsid w:val="00A90B96"/>
    <w:rsid w:val="00A931EB"/>
    <w:rsid w:val="00A96A73"/>
    <w:rsid w:val="00AA31AB"/>
    <w:rsid w:val="00AA37F3"/>
    <w:rsid w:val="00AA4586"/>
    <w:rsid w:val="00AA4ED2"/>
    <w:rsid w:val="00AA6001"/>
    <w:rsid w:val="00AA760D"/>
    <w:rsid w:val="00AB13CD"/>
    <w:rsid w:val="00AB1A6B"/>
    <w:rsid w:val="00AB1FF6"/>
    <w:rsid w:val="00AB6264"/>
    <w:rsid w:val="00AB680E"/>
    <w:rsid w:val="00AC0035"/>
    <w:rsid w:val="00AC12B1"/>
    <w:rsid w:val="00AC1498"/>
    <w:rsid w:val="00AC193A"/>
    <w:rsid w:val="00AC4AC3"/>
    <w:rsid w:val="00AC7D31"/>
    <w:rsid w:val="00AD193A"/>
    <w:rsid w:val="00AD3896"/>
    <w:rsid w:val="00AD3B5C"/>
    <w:rsid w:val="00AD4CA2"/>
    <w:rsid w:val="00AD5E07"/>
    <w:rsid w:val="00AD6913"/>
    <w:rsid w:val="00AE2A5A"/>
    <w:rsid w:val="00AE7341"/>
    <w:rsid w:val="00AE74D8"/>
    <w:rsid w:val="00AF0E59"/>
    <w:rsid w:val="00AF23CD"/>
    <w:rsid w:val="00AF2D07"/>
    <w:rsid w:val="00AF382D"/>
    <w:rsid w:val="00AF5D6D"/>
    <w:rsid w:val="00AF6410"/>
    <w:rsid w:val="00AF7AFF"/>
    <w:rsid w:val="00AF7BE2"/>
    <w:rsid w:val="00B03D82"/>
    <w:rsid w:val="00B04AB4"/>
    <w:rsid w:val="00B10023"/>
    <w:rsid w:val="00B100D2"/>
    <w:rsid w:val="00B140DD"/>
    <w:rsid w:val="00B142BC"/>
    <w:rsid w:val="00B16B52"/>
    <w:rsid w:val="00B21B01"/>
    <w:rsid w:val="00B30B77"/>
    <w:rsid w:val="00B3139A"/>
    <w:rsid w:val="00B34E85"/>
    <w:rsid w:val="00B35DBC"/>
    <w:rsid w:val="00B440EA"/>
    <w:rsid w:val="00B47180"/>
    <w:rsid w:val="00B47321"/>
    <w:rsid w:val="00B47CE8"/>
    <w:rsid w:val="00B512D3"/>
    <w:rsid w:val="00B54F02"/>
    <w:rsid w:val="00B557C9"/>
    <w:rsid w:val="00B5623E"/>
    <w:rsid w:val="00B56F0D"/>
    <w:rsid w:val="00B611B6"/>
    <w:rsid w:val="00B6184C"/>
    <w:rsid w:val="00B618C3"/>
    <w:rsid w:val="00B61911"/>
    <w:rsid w:val="00B6243F"/>
    <w:rsid w:val="00B63D06"/>
    <w:rsid w:val="00B643D9"/>
    <w:rsid w:val="00B669E7"/>
    <w:rsid w:val="00B725B6"/>
    <w:rsid w:val="00B74713"/>
    <w:rsid w:val="00B74A25"/>
    <w:rsid w:val="00B769BE"/>
    <w:rsid w:val="00B76FC3"/>
    <w:rsid w:val="00B80337"/>
    <w:rsid w:val="00B803AC"/>
    <w:rsid w:val="00B80C00"/>
    <w:rsid w:val="00B819C5"/>
    <w:rsid w:val="00B839E0"/>
    <w:rsid w:val="00B84015"/>
    <w:rsid w:val="00B8626C"/>
    <w:rsid w:val="00B8787C"/>
    <w:rsid w:val="00B90BCD"/>
    <w:rsid w:val="00B91BF8"/>
    <w:rsid w:val="00B920FA"/>
    <w:rsid w:val="00B942BB"/>
    <w:rsid w:val="00B9498B"/>
    <w:rsid w:val="00B9568E"/>
    <w:rsid w:val="00B958B9"/>
    <w:rsid w:val="00B95D93"/>
    <w:rsid w:val="00BA1054"/>
    <w:rsid w:val="00BA2211"/>
    <w:rsid w:val="00BA250A"/>
    <w:rsid w:val="00BA6946"/>
    <w:rsid w:val="00BB235E"/>
    <w:rsid w:val="00BB34D7"/>
    <w:rsid w:val="00BB4C93"/>
    <w:rsid w:val="00BB6E67"/>
    <w:rsid w:val="00BC23F8"/>
    <w:rsid w:val="00BC59AE"/>
    <w:rsid w:val="00BC7B49"/>
    <w:rsid w:val="00BD183F"/>
    <w:rsid w:val="00BD2D30"/>
    <w:rsid w:val="00BD2FDF"/>
    <w:rsid w:val="00BD3AF5"/>
    <w:rsid w:val="00BD607A"/>
    <w:rsid w:val="00BD6153"/>
    <w:rsid w:val="00BD7673"/>
    <w:rsid w:val="00BE00C9"/>
    <w:rsid w:val="00BE0997"/>
    <w:rsid w:val="00BE2A52"/>
    <w:rsid w:val="00BE5354"/>
    <w:rsid w:val="00BF29AB"/>
    <w:rsid w:val="00BF7691"/>
    <w:rsid w:val="00C00729"/>
    <w:rsid w:val="00C02E12"/>
    <w:rsid w:val="00C074D9"/>
    <w:rsid w:val="00C07AF9"/>
    <w:rsid w:val="00C11E80"/>
    <w:rsid w:val="00C16C7F"/>
    <w:rsid w:val="00C175BD"/>
    <w:rsid w:val="00C20D17"/>
    <w:rsid w:val="00C21F22"/>
    <w:rsid w:val="00C2551E"/>
    <w:rsid w:val="00C26BC8"/>
    <w:rsid w:val="00C27649"/>
    <w:rsid w:val="00C30F03"/>
    <w:rsid w:val="00C3681F"/>
    <w:rsid w:val="00C373E0"/>
    <w:rsid w:val="00C41418"/>
    <w:rsid w:val="00C41AD1"/>
    <w:rsid w:val="00C429CD"/>
    <w:rsid w:val="00C43027"/>
    <w:rsid w:val="00C45908"/>
    <w:rsid w:val="00C47D74"/>
    <w:rsid w:val="00C47EEC"/>
    <w:rsid w:val="00C47F7D"/>
    <w:rsid w:val="00C53E09"/>
    <w:rsid w:val="00C573D9"/>
    <w:rsid w:val="00C61D19"/>
    <w:rsid w:val="00C638CA"/>
    <w:rsid w:val="00C671EA"/>
    <w:rsid w:val="00C72065"/>
    <w:rsid w:val="00C72F89"/>
    <w:rsid w:val="00C748DF"/>
    <w:rsid w:val="00C75342"/>
    <w:rsid w:val="00C7616C"/>
    <w:rsid w:val="00C77B9D"/>
    <w:rsid w:val="00C8026E"/>
    <w:rsid w:val="00C812EA"/>
    <w:rsid w:val="00C83B5B"/>
    <w:rsid w:val="00C84CEB"/>
    <w:rsid w:val="00C8768B"/>
    <w:rsid w:val="00C91433"/>
    <w:rsid w:val="00C917C2"/>
    <w:rsid w:val="00C926B9"/>
    <w:rsid w:val="00C92C7D"/>
    <w:rsid w:val="00C935AD"/>
    <w:rsid w:val="00C94FDA"/>
    <w:rsid w:val="00C964BE"/>
    <w:rsid w:val="00C97543"/>
    <w:rsid w:val="00CA07F7"/>
    <w:rsid w:val="00CA30F2"/>
    <w:rsid w:val="00CA3998"/>
    <w:rsid w:val="00CA3B7A"/>
    <w:rsid w:val="00CA54F1"/>
    <w:rsid w:val="00CA57C2"/>
    <w:rsid w:val="00CA6363"/>
    <w:rsid w:val="00CA7061"/>
    <w:rsid w:val="00CB20D1"/>
    <w:rsid w:val="00CB2DE0"/>
    <w:rsid w:val="00CB5F53"/>
    <w:rsid w:val="00CC4795"/>
    <w:rsid w:val="00CC4C2B"/>
    <w:rsid w:val="00CC551B"/>
    <w:rsid w:val="00CC5B39"/>
    <w:rsid w:val="00CD02D0"/>
    <w:rsid w:val="00CD18C2"/>
    <w:rsid w:val="00CD2099"/>
    <w:rsid w:val="00CD3EB4"/>
    <w:rsid w:val="00CD4875"/>
    <w:rsid w:val="00CD76E2"/>
    <w:rsid w:val="00CE2DB2"/>
    <w:rsid w:val="00CE56FD"/>
    <w:rsid w:val="00CE5A2E"/>
    <w:rsid w:val="00CF0894"/>
    <w:rsid w:val="00CF12F2"/>
    <w:rsid w:val="00CF19B3"/>
    <w:rsid w:val="00CF46C4"/>
    <w:rsid w:val="00CF6219"/>
    <w:rsid w:val="00CF7DD1"/>
    <w:rsid w:val="00D0219A"/>
    <w:rsid w:val="00D02B00"/>
    <w:rsid w:val="00D124EF"/>
    <w:rsid w:val="00D129E3"/>
    <w:rsid w:val="00D13ECB"/>
    <w:rsid w:val="00D14B74"/>
    <w:rsid w:val="00D150D9"/>
    <w:rsid w:val="00D16B2F"/>
    <w:rsid w:val="00D16F00"/>
    <w:rsid w:val="00D2336C"/>
    <w:rsid w:val="00D23540"/>
    <w:rsid w:val="00D3213F"/>
    <w:rsid w:val="00D3647A"/>
    <w:rsid w:val="00D3795D"/>
    <w:rsid w:val="00D4055E"/>
    <w:rsid w:val="00D425CE"/>
    <w:rsid w:val="00D43ACA"/>
    <w:rsid w:val="00D458F9"/>
    <w:rsid w:val="00D46CCE"/>
    <w:rsid w:val="00D50C0C"/>
    <w:rsid w:val="00D514D8"/>
    <w:rsid w:val="00D52598"/>
    <w:rsid w:val="00D5393F"/>
    <w:rsid w:val="00D561BE"/>
    <w:rsid w:val="00D5681C"/>
    <w:rsid w:val="00D56870"/>
    <w:rsid w:val="00D56CCB"/>
    <w:rsid w:val="00D6252C"/>
    <w:rsid w:val="00D704EF"/>
    <w:rsid w:val="00D707BA"/>
    <w:rsid w:val="00D74E08"/>
    <w:rsid w:val="00D75E51"/>
    <w:rsid w:val="00D76ADF"/>
    <w:rsid w:val="00D77081"/>
    <w:rsid w:val="00D80712"/>
    <w:rsid w:val="00D8275A"/>
    <w:rsid w:val="00D82BA1"/>
    <w:rsid w:val="00D84025"/>
    <w:rsid w:val="00D86C44"/>
    <w:rsid w:val="00D93591"/>
    <w:rsid w:val="00D9629F"/>
    <w:rsid w:val="00D972D8"/>
    <w:rsid w:val="00DA0140"/>
    <w:rsid w:val="00DA59B7"/>
    <w:rsid w:val="00DA5AF2"/>
    <w:rsid w:val="00DA74C7"/>
    <w:rsid w:val="00DB1A9C"/>
    <w:rsid w:val="00DB240C"/>
    <w:rsid w:val="00DB3C69"/>
    <w:rsid w:val="00DB425C"/>
    <w:rsid w:val="00DB5663"/>
    <w:rsid w:val="00DB7592"/>
    <w:rsid w:val="00DC0D57"/>
    <w:rsid w:val="00DC5255"/>
    <w:rsid w:val="00DC582D"/>
    <w:rsid w:val="00DC6515"/>
    <w:rsid w:val="00DD0A29"/>
    <w:rsid w:val="00DD0C84"/>
    <w:rsid w:val="00DD2D2A"/>
    <w:rsid w:val="00DD5424"/>
    <w:rsid w:val="00DD598F"/>
    <w:rsid w:val="00DD6615"/>
    <w:rsid w:val="00DD71E9"/>
    <w:rsid w:val="00DE1C42"/>
    <w:rsid w:val="00DE6641"/>
    <w:rsid w:val="00DE69FD"/>
    <w:rsid w:val="00DF1A80"/>
    <w:rsid w:val="00DF3839"/>
    <w:rsid w:val="00DF551F"/>
    <w:rsid w:val="00DF6A5B"/>
    <w:rsid w:val="00E009FA"/>
    <w:rsid w:val="00E03686"/>
    <w:rsid w:val="00E07DA8"/>
    <w:rsid w:val="00E07EF8"/>
    <w:rsid w:val="00E10804"/>
    <w:rsid w:val="00E10F39"/>
    <w:rsid w:val="00E14A4F"/>
    <w:rsid w:val="00E14EA3"/>
    <w:rsid w:val="00E16472"/>
    <w:rsid w:val="00E17A08"/>
    <w:rsid w:val="00E222F7"/>
    <w:rsid w:val="00E22FE7"/>
    <w:rsid w:val="00E236B9"/>
    <w:rsid w:val="00E27969"/>
    <w:rsid w:val="00E315B0"/>
    <w:rsid w:val="00E31839"/>
    <w:rsid w:val="00E3375D"/>
    <w:rsid w:val="00E346AB"/>
    <w:rsid w:val="00E346F9"/>
    <w:rsid w:val="00E4317B"/>
    <w:rsid w:val="00E434C3"/>
    <w:rsid w:val="00E44865"/>
    <w:rsid w:val="00E50818"/>
    <w:rsid w:val="00E515FC"/>
    <w:rsid w:val="00E53389"/>
    <w:rsid w:val="00E56F26"/>
    <w:rsid w:val="00E63030"/>
    <w:rsid w:val="00E66EFA"/>
    <w:rsid w:val="00E66F0F"/>
    <w:rsid w:val="00E67835"/>
    <w:rsid w:val="00E70733"/>
    <w:rsid w:val="00E71FC5"/>
    <w:rsid w:val="00E72144"/>
    <w:rsid w:val="00E7234F"/>
    <w:rsid w:val="00E73127"/>
    <w:rsid w:val="00E7454E"/>
    <w:rsid w:val="00E749DA"/>
    <w:rsid w:val="00E7506B"/>
    <w:rsid w:val="00E75AEC"/>
    <w:rsid w:val="00E76571"/>
    <w:rsid w:val="00E76E8C"/>
    <w:rsid w:val="00E776ED"/>
    <w:rsid w:val="00E82303"/>
    <w:rsid w:val="00E84D91"/>
    <w:rsid w:val="00E856BA"/>
    <w:rsid w:val="00E877EE"/>
    <w:rsid w:val="00E94029"/>
    <w:rsid w:val="00E94821"/>
    <w:rsid w:val="00E94C19"/>
    <w:rsid w:val="00EA0B99"/>
    <w:rsid w:val="00EA1094"/>
    <w:rsid w:val="00EA4211"/>
    <w:rsid w:val="00EA4D12"/>
    <w:rsid w:val="00EA5DDF"/>
    <w:rsid w:val="00EB52FE"/>
    <w:rsid w:val="00EB53B5"/>
    <w:rsid w:val="00EB5D72"/>
    <w:rsid w:val="00EB727B"/>
    <w:rsid w:val="00EC736F"/>
    <w:rsid w:val="00EC7516"/>
    <w:rsid w:val="00ED275B"/>
    <w:rsid w:val="00ED2966"/>
    <w:rsid w:val="00EE1E08"/>
    <w:rsid w:val="00EE3E30"/>
    <w:rsid w:val="00EE4309"/>
    <w:rsid w:val="00EE4BDD"/>
    <w:rsid w:val="00EE5201"/>
    <w:rsid w:val="00EE74A5"/>
    <w:rsid w:val="00EF06FB"/>
    <w:rsid w:val="00EF0BEB"/>
    <w:rsid w:val="00EF1289"/>
    <w:rsid w:val="00EF1653"/>
    <w:rsid w:val="00EF31D1"/>
    <w:rsid w:val="00EF444A"/>
    <w:rsid w:val="00EF5B3B"/>
    <w:rsid w:val="00EF70AD"/>
    <w:rsid w:val="00EF749E"/>
    <w:rsid w:val="00F02051"/>
    <w:rsid w:val="00F04669"/>
    <w:rsid w:val="00F0594F"/>
    <w:rsid w:val="00F06A66"/>
    <w:rsid w:val="00F06EB1"/>
    <w:rsid w:val="00F0771C"/>
    <w:rsid w:val="00F121DF"/>
    <w:rsid w:val="00F12967"/>
    <w:rsid w:val="00F1766F"/>
    <w:rsid w:val="00F2072D"/>
    <w:rsid w:val="00F21968"/>
    <w:rsid w:val="00F239D4"/>
    <w:rsid w:val="00F249FE"/>
    <w:rsid w:val="00F252B8"/>
    <w:rsid w:val="00F263D4"/>
    <w:rsid w:val="00F3139B"/>
    <w:rsid w:val="00F322F3"/>
    <w:rsid w:val="00F337F9"/>
    <w:rsid w:val="00F358E9"/>
    <w:rsid w:val="00F371C1"/>
    <w:rsid w:val="00F372DC"/>
    <w:rsid w:val="00F37658"/>
    <w:rsid w:val="00F37A29"/>
    <w:rsid w:val="00F419A1"/>
    <w:rsid w:val="00F4451F"/>
    <w:rsid w:val="00F45970"/>
    <w:rsid w:val="00F45AA1"/>
    <w:rsid w:val="00F464C5"/>
    <w:rsid w:val="00F47037"/>
    <w:rsid w:val="00F51D37"/>
    <w:rsid w:val="00F539E5"/>
    <w:rsid w:val="00F53BCA"/>
    <w:rsid w:val="00F60AEB"/>
    <w:rsid w:val="00F61AEF"/>
    <w:rsid w:val="00F620F9"/>
    <w:rsid w:val="00F64B73"/>
    <w:rsid w:val="00F64EAB"/>
    <w:rsid w:val="00F706DF"/>
    <w:rsid w:val="00F71E87"/>
    <w:rsid w:val="00F72145"/>
    <w:rsid w:val="00F72FDE"/>
    <w:rsid w:val="00F864C3"/>
    <w:rsid w:val="00F87323"/>
    <w:rsid w:val="00F87D4F"/>
    <w:rsid w:val="00F87DA3"/>
    <w:rsid w:val="00F939F6"/>
    <w:rsid w:val="00F93D63"/>
    <w:rsid w:val="00F95896"/>
    <w:rsid w:val="00F95DA1"/>
    <w:rsid w:val="00F970E4"/>
    <w:rsid w:val="00FA05F5"/>
    <w:rsid w:val="00FA0C43"/>
    <w:rsid w:val="00FA2B68"/>
    <w:rsid w:val="00FA49B0"/>
    <w:rsid w:val="00FB085B"/>
    <w:rsid w:val="00FB4A43"/>
    <w:rsid w:val="00FB5306"/>
    <w:rsid w:val="00FB7FEB"/>
    <w:rsid w:val="00FC0B09"/>
    <w:rsid w:val="00FC2ED9"/>
    <w:rsid w:val="00FC5AAF"/>
    <w:rsid w:val="00FC6A29"/>
    <w:rsid w:val="00FC77D0"/>
    <w:rsid w:val="00FD0268"/>
    <w:rsid w:val="00FD029C"/>
    <w:rsid w:val="00FD4C57"/>
    <w:rsid w:val="00FD4F07"/>
    <w:rsid w:val="00FE14F8"/>
    <w:rsid w:val="00FE44FC"/>
    <w:rsid w:val="00FE51BD"/>
    <w:rsid w:val="00FE5213"/>
    <w:rsid w:val="00FE530A"/>
    <w:rsid w:val="00FE5A50"/>
    <w:rsid w:val="00FE67A6"/>
    <w:rsid w:val="00FF6E73"/>
    <w:rsid w:val="01C82FA8"/>
    <w:rsid w:val="02655B2A"/>
    <w:rsid w:val="02AE0F75"/>
    <w:rsid w:val="04F04897"/>
    <w:rsid w:val="06A43D61"/>
    <w:rsid w:val="076E6EFC"/>
    <w:rsid w:val="0BF928B1"/>
    <w:rsid w:val="0DC23B9F"/>
    <w:rsid w:val="0FB10184"/>
    <w:rsid w:val="10BF1F0A"/>
    <w:rsid w:val="110067FF"/>
    <w:rsid w:val="11CC6649"/>
    <w:rsid w:val="11F00D33"/>
    <w:rsid w:val="121E7573"/>
    <w:rsid w:val="153E320D"/>
    <w:rsid w:val="169D708C"/>
    <w:rsid w:val="16C07AD9"/>
    <w:rsid w:val="1776325D"/>
    <w:rsid w:val="178B73BE"/>
    <w:rsid w:val="191237F7"/>
    <w:rsid w:val="19CD4F5E"/>
    <w:rsid w:val="19D47E17"/>
    <w:rsid w:val="1A2F17B7"/>
    <w:rsid w:val="1CF01E74"/>
    <w:rsid w:val="22035E2A"/>
    <w:rsid w:val="23967CAE"/>
    <w:rsid w:val="23B92C66"/>
    <w:rsid w:val="25AD0736"/>
    <w:rsid w:val="25FC69CB"/>
    <w:rsid w:val="26C66A5F"/>
    <w:rsid w:val="2E437EB1"/>
    <w:rsid w:val="349410E5"/>
    <w:rsid w:val="365B2B46"/>
    <w:rsid w:val="39E47642"/>
    <w:rsid w:val="3ABC5827"/>
    <w:rsid w:val="3D1965A8"/>
    <w:rsid w:val="3E277120"/>
    <w:rsid w:val="3FD852A8"/>
    <w:rsid w:val="3FE946C4"/>
    <w:rsid w:val="40157B40"/>
    <w:rsid w:val="40827FFF"/>
    <w:rsid w:val="40B32DB7"/>
    <w:rsid w:val="41A04500"/>
    <w:rsid w:val="43691EA4"/>
    <w:rsid w:val="464F1C77"/>
    <w:rsid w:val="49F66BD8"/>
    <w:rsid w:val="4A3814CF"/>
    <w:rsid w:val="4A5A00E8"/>
    <w:rsid w:val="4D4B1C8E"/>
    <w:rsid w:val="4FCE41A2"/>
    <w:rsid w:val="50B062DF"/>
    <w:rsid w:val="514F6372"/>
    <w:rsid w:val="533C446C"/>
    <w:rsid w:val="56C64CC2"/>
    <w:rsid w:val="584166E0"/>
    <w:rsid w:val="5A311743"/>
    <w:rsid w:val="5B591B06"/>
    <w:rsid w:val="5B7577F3"/>
    <w:rsid w:val="5C6A11D0"/>
    <w:rsid w:val="5E0963CE"/>
    <w:rsid w:val="5E282FAD"/>
    <w:rsid w:val="5F2B25D6"/>
    <w:rsid w:val="604047FB"/>
    <w:rsid w:val="607907C7"/>
    <w:rsid w:val="63486AAD"/>
    <w:rsid w:val="6428017B"/>
    <w:rsid w:val="66855089"/>
    <w:rsid w:val="668F40B8"/>
    <w:rsid w:val="678F3D0E"/>
    <w:rsid w:val="6B2B47E2"/>
    <w:rsid w:val="6C340216"/>
    <w:rsid w:val="6C5F190F"/>
    <w:rsid w:val="6C70346E"/>
    <w:rsid w:val="6F152104"/>
    <w:rsid w:val="6FAD5853"/>
    <w:rsid w:val="72526421"/>
    <w:rsid w:val="72CC0329"/>
    <w:rsid w:val="73795325"/>
    <w:rsid w:val="73F00142"/>
    <w:rsid w:val="7409712D"/>
    <w:rsid w:val="745D5775"/>
    <w:rsid w:val="74D37976"/>
    <w:rsid w:val="76C74350"/>
    <w:rsid w:val="776131CA"/>
    <w:rsid w:val="7AEF6BF7"/>
    <w:rsid w:val="7BDE3BAA"/>
    <w:rsid w:val="7C2D7C4B"/>
    <w:rsid w:val="7C4F6E48"/>
    <w:rsid w:val="7CBE5D6F"/>
    <w:rsid w:val="7CFC52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qFormat="1"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keepLines/>
      <w:spacing w:before="340" w:after="330" w:line="576" w:lineRule="auto"/>
      <w:outlineLvl w:val="0"/>
    </w:pPr>
    <w:rPr>
      <w:b/>
      <w:kern w:val="44"/>
      <w:sz w:val="44"/>
    </w:rPr>
  </w:style>
  <w:style w:type="paragraph" w:styleId="4">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paragraph" w:styleId="5">
    <w:name w:val="heading 3"/>
    <w:basedOn w:val="1"/>
    <w:next w:val="1"/>
    <w:unhideWhenUsed/>
    <w:qFormat/>
    <w:uiPriority w:val="0"/>
    <w:pPr>
      <w:keepNext/>
      <w:keepLines/>
      <w:spacing w:before="260" w:after="260" w:line="413" w:lineRule="auto"/>
      <w:outlineLvl w:val="2"/>
    </w:pPr>
    <w:rPr>
      <w:b/>
      <w:sz w:val="32"/>
    </w:rPr>
  </w:style>
  <w:style w:type="paragraph" w:styleId="6">
    <w:name w:val="heading 4"/>
    <w:basedOn w:val="1"/>
    <w:next w:val="1"/>
    <w:link w:val="28"/>
    <w:unhideWhenUsed/>
    <w:qFormat/>
    <w:uiPriority w:val="0"/>
    <w:pPr>
      <w:keepNext/>
      <w:keepLines/>
      <w:spacing w:before="280" w:after="290" w:line="372" w:lineRule="auto"/>
      <w:outlineLvl w:val="3"/>
    </w:pPr>
    <w:rPr>
      <w:rFonts w:ascii="Arial" w:hAnsi="Arial" w:eastAsia="黑体"/>
      <w:b/>
      <w:sz w:val="28"/>
    </w:rPr>
  </w:style>
  <w:style w:type="paragraph" w:styleId="7">
    <w:name w:val="heading 5"/>
    <w:basedOn w:val="1"/>
    <w:next w:val="1"/>
    <w:unhideWhenUsed/>
    <w:qFormat/>
    <w:uiPriority w:val="0"/>
    <w:pPr>
      <w:keepNext/>
      <w:keepLines/>
      <w:spacing w:before="280" w:after="290" w:line="372" w:lineRule="auto"/>
      <w:outlineLvl w:val="4"/>
    </w:pPr>
    <w:rPr>
      <w:b/>
      <w:sz w:val="28"/>
    </w:rPr>
  </w:style>
  <w:style w:type="paragraph" w:styleId="8">
    <w:name w:val="heading 7"/>
    <w:basedOn w:val="1"/>
    <w:next w:val="1"/>
    <w:link w:val="35"/>
    <w:semiHidden/>
    <w:unhideWhenUsed/>
    <w:qFormat/>
    <w:uiPriority w:val="0"/>
    <w:pPr>
      <w:keepNext/>
      <w:keepLines/>
      <w:spacing w:before="240" w:after="64" w:line="320" w:lineRule="auto"/>
      <w:outlineLvl w:val="6"/>
    </w:pPr>
    <w:rPr>
      <w:b/>
      <w:bCs/>
      <w:sz w:val="24"/>
    </w:rPr>
  </w:style>
  <w:style w:type="character" w:default="1" w:styleId="20">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2">
    <w:name w:val="Plain Text"/>
    <w:basedOn w:val="1"/>
    <w:link w:val="34"/>
    <w:qFormat/>
    <w:uiPriority w:val="99"/>
    <w:rPr>
      <w:rFonts w:hint="eastAsia" w:ascii="宋体" w:hAnsi="Courier New" w:eastAsia="宋体"/>
    </w:rPr>
  </w:style>
  <w:style w:type="paragraph" w:styleId="9">
    <w:name w:val="annotation text"/>
    <w:basedOn w:val="1"/>
    <w:link w:val="30"/>
    <w:qFormat/>
    <w:uiPriority w:val="0"/>
    <w:pPr>
      <w:jc w:val="left"/>
    </w:pPr>
  </w:style>
  <w:style w:type="paragraph" w:styleId="10">
    <w:name w:val="endnote text"/>
    <w:basedOn w:val="1"/>
    <w:link w:val="38"/>
    <w:uiPriority w:val="0"/>
    <w:pPr>
      <w:snapToGrid w:val="0"/>
      <w:jc w:val="left"/>
    </w:pPr>
  </w:style>
  <w:style w:type="paragraph" w:styleId="11">
    <w:name w:val="footer"/>
    <w:basedOn w:val="1"/>
    <w:unhideWhenUsed/>
    <w:qFormat/>
    <w:uiPriority w:val="0"/>
    <w:pPr>
      <w:tabs>
        <w:tab w:val="center" w:pos="4153"/>
        <w:tab w:val="right" w:pos="8306"/>
      </w:tabs>
      <w:snapToGrid w:val="0"/>
      <w:jc w:val="left"/>
    </w:pPr>
    <w:rPr>
      <w:sz w:val="18"/>
      <w:szCs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3">
    <w:name w:val="toc 1"/>
    <w:basedOn w:val="1"/>
    <w:next w:val="1"/>
    <w:qFormat/>
    <w:uiPriority w:val="39"/>
  </w:style>
  <w:style w:type="paragraph" w:styleId="14">
    <w:name w:val="footnote text"/>
    <w:basedOn w:val="1"/>
    <w:qFormat/>
    <w:uiPriority w:val="0"/>
    <w:pPr>
      <w:snapToGrid w:val="0"/>
      <w:jc w:val="left"/>
    </w:pPr>
    <w:rPr>
      <w:sz w:val="18"/>
    </w:rPr>
  </w:style>
  <w:style w:type="paragraph" w:styleId="15">
    <w:name w:val="toc 2"/>
    <w:basedOn w:val="1"/>
    <w:next w:val="1"/>
    <w:qFormat/>
    <w:uiPriority w:val="39"/>
    <w:pPr>
      <w:ind w:left="420" w:leftChars="200"/>
    </w:pPr>
  </w:style>
  <w:style w:type="paragraph" w:styleId="16">
    <w:name w:val="Normal (Web)"/>
    <w:basedOn w:val="1"/>
    <w:qFormat/>
    <w:uiPriority w:val="0"/>
    <w:pPr>
      <w:spacing w:beforeAutospacing="1" w:afterAutospacing="1"/>
      <w:jc w:val="left"/>
    </w:pPr>
    <w:rPr>
      <w:rFonts w:cs="Times New Roman"/>
      <w:kern w:val="0"/>
      <w:sz w:val="24"/>
    </w:rPr>
  </w:style>
  <w:style w:type="paragraph" w:styleId="17">
    <w:name w:val="annotation subject"/>
    <w:basedOn w:val="9"/>
    <w:next w:val="9"/>
    <w:link w:val="31"/>
    <w:qFormat/>
    <w:uiPriority w:val="0"/>
    <w:rPr>
      <w:b/>
      <w:bCs/>
    </w:rPr>
  </w:style>
  <w:style w:type="table" w:styleId="19">
    <w:name w:val="Table Grid"/>
    <w:basedOn w:val="18"/>
    <w:qFormat/>
    <w:uiPriority w:val="59"/>
    <w:pPr>
      <w:jc w:val="both"/>
    </w:pPr>
    <w:rPr>
      <w:rFonts w:ascii="Calibri" w:hAnsi="Calibri" w:eastAsia="仿宋" w:cs="宋体"/>
      <w:sz w:val="3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0"/>
    <w:rPr>
      <w:b/>
    </w:rPr>
  </w:style>
  <w:style w:type="character" w:styleId="22">
    <w:name w:val="endnote reference"/>
    <w:basedOn w:val="20"/>
    <w:qFormat/>
    <w:uiPriority w:val="0"/>
    <w:rPr>
      <w:vertAlign w:val="superscript"/>
    </w:rPr>
  </w:style>
  <w:style w:type="character" w:styleId="23">
    <w:name w:val="Hyperlink"/>
    <w:basedOn w:val="20"/>
    <w:unhideWhenUsed/>
    <w:qFormat/>
    <w:uiPriority w:val="99"/>
    <w:rPr>
      <w:color w:val="0000FF"/>
      <w:u w:val="single"/>
    </w:rPr>
  </w:style>
  <w:style w:type="character" w:styleId="24">
    <w:name w:val="annotation reference"/>
    <w:basedOn w:val="20"/>
    <w:qFormat/>
    <w:uiPriority w:val="0"/>
    <w:rPr>
      <w:sz w:val="21"/>
      <w:szCs w:val="21"/>
    </w:rPr>
  </w:style>
  <w:style w:type="character" w:styleId="25">
    <w:name w:val="footnote reference"/>
    <w:basedOn w:val="20"/>
    <w:qFormat/>
    <w:uiPriority w:val="0"/>
    <w:rPr>
      <w:vertAlign w:val="superscript"/>
    </w:rPr>
  </w:style>
  <w:style w:type="paragraph" w:customStyle="1" w:styleId="26">
    <w:name w:val="BodyTextIndent2"/>
    <w:basedOn w:val="1"/>
    <w:qFormat/>
    <w:uiPriority w:val="0"/>
    <w:pPr>
      <w:spacing w:after="120" w:line="480" w:lineRule="auto"/>
      <w:ind w:left="420" w:leftChars="200"/>
      <w:textAlignment w:val="baseline"/>
    </w:pPr>
    <w:rPr>
      <w:rFonts w:ascii="Times New Roman" w:hAnsi="Times New Roman"/>
    </w:rPr>
  </w:style>
  <w:style w:type="table" w:customStyle="1" w:styleId="27">
    <w:name w:val="网格型1"/>
    <w:basedOn w:val="1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8">
    <w:name w:val="标题 4 字符"/>
    <w:link w:val="6"/>
    <w:qFormat/>
    <w:uiPriority w:val="0"/>
    <w:rPr>
      <w:rFonts w:ascii="Arial" w:hAnsi="Arial" w:eastAsia="黑体"/>
      <w:b/>
      <w:sz w:val="28"/>
    </w:rPr>
  </w:style>
  <w:style w:type="paragraph" w:customStyle="1" w:styleId="29">
    <w:name w:val="修订1"/>
    <w:hidden/>
    <w:semiHidden/>
    <w:qFormat/>
    <w:uiPriority w:val="99"/>
    <w:rPr>
      <w:rFonts w:asciiTheme="minorHAnsi" w:hAnsiTheme="minorHAnsi" w:eastAsiaTheme="minorEastAsia" w:cstheme="minorBidi"/>
      <w:kern w:val="2"/>
      <w:sz w:val="21"/>
      <w:szCs w:val="24"/>
      <w:lang w:val="en-US" w:eastAsia="zh-CN" w:bidi="ar-SA"/>
    </w:rPr>
  </w:style>
  <w:style w:type="character" w:customStyle="1" w:styleId="30">
    <w:name w:val="批注文字 字符"/>
    <w:basedOn w:val="20"/>
    <w:link w:val="9"/>
    <w:qFormat/>
    <w:uiPriority w:val="0"/>
    <w:rPr>
      <w:rFonts w:asciiTheme="minorHAnsi" w:hAnsiTheme="minorHAnsi" w:eastAsiaTheme="minorEastAsia" w:cstheme="minorBidi"/>
      <w:kern w:val="2"/>
      <w:sz w:val="21"/>
      <w:szCs w:val="24"/>
    </w:rPr>
  </w:style>
  <w:style w:type="character" w:customStyle="1" w:styleId="31">
    <w:name w:val="批注主题 字符"/>
    <w:basedOn w:val="30"/>
    <w:link w:val="17"/>
    <w:qFormat/>
    <w:uiPriority w:val="0"/>
    <w:rPr>
      <w:rFonts w:asciiTheme="minorHAnsi" w:hAnsiTheme="minorHAnsi" w:eastAsiaTheme="minorEastAsia" w:cstheme="minorBidi"/>
      <w:b/>
      <w:bCs/>
      <w:kern w:val="2"/>
      <w:sz w:val="21"/>
      <w:szCs w:val="24"/>
    </w:rPr>
  </w:style>
  <w:style w:type="paragraph" w:styleId="32">
    <w:name w:val="List Paragraph"/>
    <w:basedOn w:val="1"/>
    <w:qFormat/>
    <w:uiPriority w:val="99"/>
    <w:pPr>
      <w:ind w:firstLine="420" w:firstLineChars="200"/>
    </w:pPr>
  </w:style>
  <w:style w:type="paragraph" w:customStyle="1" w:styleId="33">
    <w:name w:val="修订2"/>
    <w:hidden/>
    <w:semiHidden/>
    <w:qFormat/>
    <w:uiPriority w:val="99"/>
    <w:rPr>
      <w:rFonts w:asciiTheme="minorHAnsi" w:hAnsiTheme="minorHAnsi" w:eastAsiaTheme="minorEastAsia" w:cstheme="minorBidi"/>
      <w:kern w:val="2"/>
      <w:sz w:val="21"/>
      <w:szCs w:val="24"/>
      <w:lang w:val="en-US" w:eastAsia="zh-CN" w:bidi="ar-SA"/>
    </w:rPr>
  </w:style>
  <w:style w:type="character" w:customStyle="1" w:styleId="34">
    <w:name w:val="纯文本 字符"/>
    <w:basedOn w:val="20"/>
    <w:link w:val="2"/>
    <w:qFormat/>
    <w:uiPriority w:val="99"/>
    <w:rPr>
      <w:rFonts w:ascii="宋体" w:hAnsi="Courier New" w:cstheme="minorBidi"/>
      <w:kern w:val="2"/>
      <w:sz w:val="21"/>
      <w:szCs w:val="24"/>
    </w:rPr>
  </w:style>
  <w:style w:type="character" w:customStyle="1" w:styleId="35">
    <w:name w:val="标题 7 字符"/>
    <w:basedOn w:val="20"/>
    <w:link w:val="8"/>
    <w:semiHidden/>
    <w:qFormat/>
    <w:uiPriority w:val="0"/>
    <w:rPr>
      <w:rFonts w:asciiTheme="minorHAnsi" w:hAnsiTheme="minorHAnsi" w:eastAsiaTheme="minorEastAsia" w:cstheme="minorBidi"/>
      <w:b/>
      <w:bCs/>
      <w:kern w:val="2"/>
      <w:sz w:val="24"/>
      <w:szCs w:val="24"/>
    </w:rPr>
  </w:style>
  <w:style w:type="paragraph" w:customStyle="1" w:styleId="36">
    <w:name w:val="修订3"/>
    <w:hidden/>
    <w:semiHidden/>
    <w:uiPriority w:val="99"/>
    <w:rPr>
      <w:rFonts w:asciiTheme="minorHAnsi" w:hAnsiTheme="minorHAnsi" w:eastAsiaTheme="minorEastAsia" w:cstheme="minorBidi"/>
      <w:kern w:val="2"/>
      <w:sz w:val="21"/>
      <w:szCs w:val="24"/>
      <w:lang w:val="en-US" w:eastAsia="zh-CN" w:bidi="ar-SA"/>
    </w:rPr>
  </w:style>
  <w:style w:type="paragraph" w:customStyle="1" w:styleId="37">
    <w:name w:val="Revision"/>
    <w:hidden/>
    <w:semiHidden/>
    <w:uiPriority w:val="99"/>
    <w:rPr>
      <w:rFonts w:asciiTheme="minorHAnsi" w:hAnsiTheme="minorHAnsi" w:eastAsiaTheme="minorEastAsia" w:cstheme="minorBidi"/>
      <w:kern w:val="2"/>
      <w:sz w:val="21"/>
      <w:szCs w:val="24"/>
      <w:lang w:val="en-US" w:eastAsia="zh-CN" w:bidi="ar-SA"/>
    </w:rPr>
  </w:style>
  <w:style w:type="character" w:customStyle="1" w:styleId="38">
    <w:name w:val="尾注文本 字符"/>
    <w:basedOn w:val="20"/>
    <w:link w:val="10"/>
    <w:qFormat/>
    <w:uiPriority w:val="0"/>
    <w:rPr>
      <w:rFonts w:asciiTheme="minorHAnsi" w:hAnsiTheme="minorHAnsi" w:eastAsiaTheme="minorEastAsia" w:cstheme="minorBidi"/>
      <w:kern w:val="2"/>
      <w:sz w:val="21"/>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0" Type="http://schemas.openxmlformats.org/officeDocument/2006/relationships/fontTable" Target="fontTable.xml"/><Relationship Id="rId6" Type="http://schemas.openxmlformats.org/officeDocument/2006/relationships/footer" Target="footer4.xml"/><Relationship Id="rId59" Type="http://schemas.openxmlformats.org/officeDocument/2006/relationships/customXml" Target="../customXml/item2.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chart" Target="charts/chart2.xml"/><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emf"/><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emf"/><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chart" Target="charts/chart1.xml"/><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emf"/><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lin\Desktop\2020&#35013;&#37197;&#24335;&#24314;&#31569;&#25968;&#2545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enovo\AppData\Local\Temp\360zip$Temp\360$2\2016-2019%20&#20135;&#20540;&#36208;&#2152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zh-CN" sz="1400" b="0" i="0" u="none" strike="noStrike" baseline="0">
                <a:effectLst/>
              </a:rPr>
              <a:t>绿色建材</a:t>
            </a:r>
            <a:r>
              <a:rPr lang="zh-CN" altLang="en-US" sz="1400" b="0" i="0" u="none" strike="noStrike" baseline="0">
                <a:effectLst/>
              </a:rPr>
              <a:t>用量预测</a:t>
            </a:r>
            <a:endParaRPr lang="zh-CN" altLang="en-US"/>
          </a:p>
        </c:rich>
      </c:tx>
      <c:layout/>
      <c:overlay val="0"/>
      <c:spPr>
        <a:noFill/>
        <a:ln>
          <a:noFill/>
        </a:ln>
        <a:effectLst/>
      </c:spPr>
    </c:title>
    <c:autoTitleDeleted val="0"/>
    <c:plotArea>
      <c:layout/>
      <c:lineChart>
        <c:grouping val="standard"/>
        <c:varyColors val="0"/>
        <c:ser>
          <c:idx val="0"/>
          <c:order val="0"/>
          <c:tx>
            <c:strRef>
              <c:f>'2个国家示范城市 21个国家级产业基地'!$E$29:$E$30</c:f>
              <c:strCache>
                <c:ptCount val="1"/>
                <c:pt idx="0">
                  <c:v>散装水泥供应量 （万吨）</c:v>
                </c:pt>
              </c:strCache>
            </c:strRef>
          </c:tx>
          <c:spPr>
            <a:ln w="28575" cap="rnd">
              <a:solidFill>
                <a:schemeClr val="accent1"/>
              </a:solidFill>
              <a:round/>
            </a:ln>
            <a:effectLst/>
          </c:spPr>
          <c:marker>
            <c:symbol val="none"/>
          </c:marker>
          <c:dLbls>
            <c:delete val="1"/>
          </c:dLbls>
          <c:trendline>
            <c:spPr>
              <a:ln w="19050" cap="rnd">
                <a:solidFill>
                  <a:schemeClr val="accent1"/>
                </a:solidFill>
                <a:prstDash val="sysDot"/>
              </a:ln>
              <a:effectLst/>
            </c:spPr>
            <c:trendlineType val="linear"/>
            <c:forward val="0.75"/>
            <c:dispRSqr val="0"/>
            <c:dispEq val="0"/>
          </c:trendline>
          <c:cat>
            <c:strRef>
              <c:f>'2个国家示范城市 21个国家级产业基地'!$D$31:$D$40</c:f>
              <c:strCache>
                <c:ptCount val="10"/>
                <c:pt idx="0">
                  <c:v>2016年</c:v>
                </c:pt>
                <c:pt idx="1">
                  <c:v>2017年</c:v>
                </c:pt>
                <c:pt idx="2">
                  <c:v>2018年</c:v>
                </c:pt>
                <c:pt idx="3">
                  <c:v>2019年</c:v>
                </c:pt>
                <c:pt idx="4">
                  <c:v>2020年</c:v>
                </c:pt>
                <c:pt idx="5">
                  <c:v>2021年</c:v>
                </c:pt>
                <c:pt idx="6">
                  <c:v>2022年</c:v>
                </c:pt>
                <c:pt idx="7">
                  <c:v>2023年</c:v>
                </c:pt>
                <c:pt idx="8">
                  <c:v>2024年</c:v>
                </c:pt>
                <c:pt idx="9">
                  <c:v>2025年</c:v>
                </c:pt>
              </c:strCache>
            </c:strRef>
          </c:cat>
          <c:val>
            <c:numRef>
              <c:f>'2个国家示范城市 21个国家级产业基地'!$E$31:$E$40</c:f>
              <c:numCache>
                <c:formatCode>General</c:formatCode>
                <c:ptCount val="10"/>
                <c:pt idx="0">
                  <c:v>470.58</c:v>
                </c:pt>
                <c:pt idx="1">
                  <c:v>414</c:v>
                </c:pt>
                <c:pt idx="2">
                  <c:v>538.77</c:v>
                </c:pt>
                <c:pt idx="3">
                  <c:v>539.04</c:v>
                </c:pt>
                <c:pt idx="4">
                  <c:v>542</c:v>
                </c:pt>
              </c:numCache>
            </c:numRef>
          </c:val>
          <c:smooth val="0"/>
        </c:ser>
        <c:ser>
          <c:idx val="1"/>
          <c:order val="1"/>
          <c:tx>
            <c:strRef>
              <c:f>'2个国家示范城市 21个国家级产业基地'!$F$29:$F$30</c:f>
              <c:strCache>
                <c:ptCount val="1"/>
                <c:pt idx="0">
                  <c:v>预拌混凝土使用量 （万立方米）</c:v>
                </c:pt>
              </c:strCache>
            </c:strRef>
          </c:tx>
          <c:spPr>
            <a:ln w="28575" cap="rnd">
              <a:solidFill>
                <a:schemeClr val="accent2"/>
              </a:solidFill>
              <a:round/>
            </a:ln>
            <a:effectLst/>
          </c:spPr>
          <c:marker>
            <c:symbol val="none"/>
          </c:marker>
          <c:dLbls>
            <c:delete val="1"/>
          </c:dLbls>
          <c:trendline>
            <c:spPr>
              <a:ln w="19050" cap="rnd">
                <a:solidFill>
                  <a:schemeClr val="accent2"/>
                </a:solidFill>
                <a:prstDash val="sysDot"/>
              </a:ln>
              <a:effectLst/>
            </c:spPr>
            <c:trendlineType val="linear"/>
            <c:forward val="0.75"/>
            <c:dispRSqr val="0"/>
            <c:dispEq val="0"/>
          </c:trendline>
          <c:cat>
            <c:strRef>
              <c:f>'2个国家示范城市 21个国家级产业基地'!$D$31:$D$40</c:f>
              <c:strCache>
                <c:ptCount val="10"/>
                <c:pt idx="0">
                  <c:v>2016年</c:v>
                </c:pt>
                <c:pt idx="1">
                  <c:v>2017年</c:v>
                </c:pt>
                <c:pt idx="2">
                  <c:v>2018年</c:v>
                </c:pt>
                <c:pt idx="3">
                  <c:v>2019年</c:v>
                </c:pt>
                <c:pt idx="4">
                  <c:v>2020年</c:v>
                </c:pt>
                <c:pt idx="5">
                  <c:v>2021年</c:v>
                </c:pt>
                <c:pt idx="6">
                  <c:v>2022年</c:v>
                </c:pt>
                <c:pt idx="7">
                  <c:v>2023年</c:v>
                </c:pt>
                <c:pt idx="8">
                  <c:v>2024年</c:v>
                </c:pt>
                <c:pt idx="9">
                  <c:v>2025年</c:v>
                </c:pt>
              </c:strCache>
            </c:strRef>
          </c:cat>
          <c:val>
            <c:numRef>
              <c:f>'2个国家示范城市 21个国家级产业基地'!$F$31:$F$40</c:f>
              <c:numCache>
                <c:formatCode>General</c:formatCode>
                <c:ptCount val="10"/>
                <c:pt idx="0">
                  <c:v>357.94</c:v>
                </c:pt>
                <c:pt idx="1">
                  <c:v>445.23</c:v>
                </c:pt>
                <c:pt idx="2">
                  <c:v>486.67</c:v>
                </c:pt>
                <c:pt idx="3">
                  <c:v>521.55</c:v>
                </c:pt>
                <c:pt idx="4">
                  <c:v>553</c:v>
                </c:pt>
              </c:numCache>
            </c:numRef>
          </c:val>
          <c:smooth val="0"/>
        </c:ser>
        <c:ser>
          <c:idx val="2"/>
          <c:order val="2"/>
          <c:tx>
            <c:strRef>
              <c:f>'2个国家示范城市 21个国家级产业基地'!$G$29:$G$30</c:f>
              <c:strCache>
                <c:ptCount val="1"/>
                <c:pt idx="0">
                  <c:v>预拌砂浆使用量 （万吨）</c:v>
                </c:pt>
              </c:strCache>
            </c:strRef>
          </c:tx>
          <c:spPr>
            <a:ln w="28575" cap="rnd">
              <a:solidFill>
                <a:schemeClr val="accent3"/>
              </a:solidFill>
              <a:round/>
            </a:ln>
            <a:effectLst/>
          </c:spPr>
          <c:marker>
            <c:symbol val="none"/>
          </c:marker>
          <c:dLbls>
            <c:delete val="1"/>
          </c:dLbls>
          <c:trendline>
            <c:spPr>
              <a:ln w="19050" cap="rnd">
                <a:solidFill>
                  <a:schemeClr val="accent3"/>
                </a:solidFill>
                <a:prstDash val="sysDot"/>
              </a:ln>
              <a:effectLst/>
            </c:spPr>
            <c:trendlineType val="linear"/>
            <c:forward val="0.75"/>
            <c:dispRSqr val="0"/>
            <c:dispEq val="0"/>
          </c:trendline>
          <c:cat>
            <c:strRef>
              <c:f>'2个国家示范城市 21个国家级产业基地'!$D$31:$D$40</c:f>
              <c:strCache>
                <c:ptCount val="10"/>
                <c:pt idx="0">
                  <c:v>2016年</c:v>
                </c:pt>
                <c:pt idx="1">
                  <c:v>2017年</c:v>
                </c:pt>
                <c:pt idx="2">
                  <c:v>2018年</c:v>
                </c:pt>
                <c:pt idx="3">
                  <c:v>2019年</c:v>
                </c:pt>
                <c:pt idx="4">
                  <c:v>2020年</c:v>
                </c:pt>
                <c:pt idx="5">
                  <c:v>2021年</c:v>
                </c:pt>
                <c:pt idx="6">
                  <c:v>2022年</c:v>
                </c:pt>
                <c:pt idx="7">
                  <c:v>2023年</c:v>
                </c:pt>
                <c:pt idx="8">
                  <c:v>2024年</c:v>
                </c:pt>
                <c:pt idx="9">
                  <c:v>2025年</c:v>
                </c:pt>
              </c:strCache>
            </c:strRef>
          </c:cat>
          <c:val>
            <c:numRef>
              <c:f>'2个国家示范城市 21个国家级产业基地'!$G$31:$G$40</c:f>
              <c:numCache>
                <c:formatCode>General</c:formatCode>
                <c:ptCount val="10"/>
                <c:pt idx="0">
                  <c:v>6.61</c:v>
                </c:pt>
                <c:pt idx="1">
                  <c:v>10.55</c:v>
                </c:pt>
                <c:pt idx="2">
                  <c:v>16.35</c:v>
                </c:pt>
                <c:pt idx="3">
                  <c:v>19.62</c:v>
                </c:pt>
                <c:pt idx="4">
                  <c:v>18.42</c:v>
                </c:pt>
              </c:numCache>
            </c:numRef>
          </c:val>
          <c:smooth val="0"/>
        </c:ser>
        <c:dLbls>
          <c:showLegendKey val="0"/>
          <c:showVal val="0"/>
          <c:showCatName val="0"/>
          <c:showSerName val="0"/>
          <c:showPercent val="0"/>
          <c:showBubbleSize val="0"/>
        </c:dLbls>
        <c:marker val="0"/>
        <c:smooth val="0"/>
        <c:axId val="-2046686752"/>
        <c:axId val="-2046682944"/>
      </c:lineChart>
      <c:catAx>
        <c:axId val="-2046686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046682944"/>
        <c:crosses val="autoZero"/>
        <c:auto val="1"/>
        <c:lblAlgn val="ctr"/>
        <c:lblOffset val="100"/>
        <c:noMultiLvlLbl val="0"/>
      </c:catAx>
      <c:valAx>
        <c:axId val="-2046682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0466867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lang="en-US" altLang="zh-CN" sz="1050"/>
              <a:t>2016-2019</a:t>
            </a:r>
            <a:r>
              <a:rPr lang="zh-CN" altLang="en-US" sz="1050"/>
              <a:t>年建筑业产值</a:t>
            </a:r>
            <a:endParaRPr lang="zh-CN" altLang="en-US" sz="1050" b="0" i="0" u="none" strike="noStrike" baseline="0">
              <a:solidFill>
                <a:srgbClr val="595959">
                  <a:alpha val="100000"/>
                </a:srgbClr>
              </a:solidFill>
              <a:latin typeface="宋体" panose="02010600030101010101" charset="-122"/>
              <a:ea typeface="宋体" panose="02010600030101010101" charset="-122"/>
              <a:cs typeface="宋体" panose="02010600030101010101" charset="-122"/>
            </a:endParaRPr>
          </a:p>
        </c:rich>
      </c:tx>
      <c:layout/>
      <c:overlay val="0"/>
      <c:spPr>
        <a:noFill/>
        <a:ln>
          <a:noFill/>
        </a:ln>
        <a:effectLst/>
      </c:spPr>
    </c:title>
    <c:autoTitleDeleted val="0"/>
    <c:plotArea>
      <c:layout/>
      <c:barChart>
        <c:barDir val="col"/>
        <c:grouping val="clustered"/>
        <c:varyColors val="0"/>
        <c:ser>
          <c:idx val="0"/>
          <c:order val="0"/>
          <c:tx>
            <c:strRef>
              <c:f>'[2016-2019 产值走向.xls]Sheet1 (2)'!$D$5</c:f>
              <c:strCache>
                <c:ptCount val="1"/>
                <c:pt idx="0">
                  <c:v>年总产值（亿元）</c:v>
                </c:pt>
              </c:strCache>
            </c:strRef>
          </c:tx>
          <c:spPr>
            <a:solidFill>
              <a:schemeClr val="accent1"/>
            </a:solidFill>
            <a:ln>
              <a:noFill/>
            </a:ln>
            <a:effectLst/>
          </c:spPr>
          <c:invertIfNegative val="0"/>
          <c:dLbls>
            <c:dLbl>
              <c:idx val="0"/>
              <c:layout/>
              <c:numFmt formatCode="General" sourceLinked="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1"/>
              <c:layout/>
              <c:numFmt formatCode="General" sourceLinked="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2"/>
              <c:layout/>
              <c:numFmt formatCode="General" sourceLinked="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3"/>
              <c:layout/>
              <c:numFmt formatCode="General" sourceLinked="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trendline>
            <c:spPr>
              <a:ln w="19050" cap="rnd" cmpd="sng" algn="ctr">
                <a:solidFill>
                  <a:schemeClr val="accent1"/>
                </a:solidFill>
                <a:prstDash val="sysDot"/>
                <a:round/>
              </a:ln>
              <a:effectLst/>
            </c:spPr>
            <c:trendlineType val="linear"/>
            <c:dispRSqr val="0"/>
            <c:dispEq val="0"/>
          </c:trendline>
          <c:cat>
            <c:numRef>
              <c:f>'[2016-2019 产值走向.xls]Sheet1 (2)'!$B$6:$B$9</c:f>
              <c:numCache>
                <c:formatCode>General</c:formatCode>
                <c:ptCount val="4"/>
                <c:pt idx="0">
                  <c:v>2016</c:v>
                </c:pt>
                <c:pt idx="1">
                  <c:v>2017</c:v>
                </c:pt>
                <c:pt idx="2">
                  <c:v>2018</c:v>
                </c:pt>
                <c:pt idx="3">
                  <c:v>2019</c:v>
                </c:pt>
              </c:numCache>
            </c:numRef>
          </c:cat>
          <c:val>
            <c:numRef>
              <c:f>'[2016-2019 产值走向.xls]Sheet1 (2)'!$D$6:$D$9</c:f>
              <c:numCache>
                <c:formatCode>0.0_ </c:formatCode>
                <c:ptCount val="4"/>
                <c:pt idx="0">
                  <c:v>142.4394</c:v>
                </c:pt>
                <c:pt idx="1" c:formatCode="General">
                  <c:v>162.2727</c:v>
                </c:pt>
                <c:pt idx="2" c:formatCode="General">
                  <c:v>201</c:v>
                </c:pt>
                <c:pt idx="3" c:formatCode="General">
                  <c:v>213.3</c:v>
                </c:pt>
              </c:numCache>
            </c:numRef>
          </c:val>
        </c:ser>
        <c:ser>
          <c:idx val="1"/>
          <c:order val="1"/>
          <c:tx>
            <c:strRef>
              <c:f>'[2016-2019 产值走向.xls]Sheet1 (2)'!$F$5</c:f>
              <c:strCache>
                <c:ptCount val="1"/>
                <c:pt idx="0">
                  <c:v>同比产值增速（%）</c:v>
                </c:pt>
              </c:strCache>
            </c:strRef>
          </c:tx>
          <c:spPr>
            <a:solidFill>
              <a:schemeClr val="accent2"/>
            </a:solidFill>
            <a:ln>
              <a:noFill/>
            </a:ln>
            <a:effectLst/>
          </c:spPr>
          <c:invertIfNegative val="0"/>
          <c:dLbls>
            <c:delete val="1"/>
          </c:dLbls>
          <c:cat>
            <c:numRef>
              <c:f>'[2016-2019 产值走向.xls]Sheet1 (2)'!$B$6:$B$9</c:f>
              <c:numCache>
                <c:formatCode>General</c:formatCode>
                <c:ptCount val="4"/>
                <c:pt idx="0">
                  <c:v>2016</c:v>
                </c:pt>
                <c:pt idx="1">
                  <c:v>2017</c:v>
                </c:pt>
                <c:pt idx="2">
                  <c:v>2018</c:v>
                </c:pt>
                <c:pt idx="3">
                  <c:v>2019</c:v>
                </c:pt>
              </c:numCache>
            </c:numRef>
          </c:cat>
          <c:val>
            <c:numRef>
              <c:f>'[2016-2019 产值走向.xls]Sheet1 (2)'!$F$6:$F$9</c:f>
              <c:numCache>
                <c:formatCode>General</c:formatCode>
                <c:ptCount val="4"/>
                <c:pt idx="0">
                  <c:v>0</c:v>
                </c:pt>
                <c:pt idx="1" c:formatCode="0%">
                  <c:v>0.13</c:v>
                </c:pt>
                <c:pt idx="2" c:formatCode="0.00%">
                  <c:v>0.066</c:v>
                </c:pt>
                <c:pt idx="3" c:formatCode="0.00%">
                  <c:v>0.173</c:v>
                </c:pt>
              </c:numCache>
            </c:numRef>
          </c:val>
        </c:ser>
        <c:dLbls>
          <c:showLegendKey val="0"/>
          <c:showVal val="0"/>
          <c:showCatName val="0"/>
          <c:showSerName val="0"/>
          <c:showPercent val="0"/>
          <c:showBubbleSize val="0"/>
        </c:dLbls>
        <c:gapWidth val="219"/>
        <c:overlap val="-27"/>
        <c:axId val="-2046681856"/>
        <c:axId val="-2046684576"/>
      </c:barChart>
      <c:catAx>
        <c:axId val="-204668185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046684576"/>
        <c:crosses val="autoZero"/>
        <c:auto val="1"/>
        <c:lblAlgn val="ctr"/>
        <c:lblOffset val="100"/>
        <c:noMultiLvlLbl val="0"/>
      </c:catAx>
      <c:valAx>
        <c:axId val="-204668457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0_ " sourceLinked="1"/>
        <c:majorTickMark val="none"/>
        <c:minorTickMark val="none"/>
        <c:tickLblPos val="nextTo"/>
        <c:spPr>
          <a:noFill/>
          <a:ln w="6350"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046681856"/>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wrap="square"/>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44BC0E6-A3F0-48A0-994B-F1CAFD48CDA6}">
  <ds:schemaRefs/>
</ds:datastoreItem>
</file>

<file path=docProps/app.xml><?xml version="1.0" encoding="utf-8"?>
<Properties xmlns="http://schemas.openxmlformats.org/officeDocument/2006/extended-properties" xmlns:vt="http://schemas.openxmlformats.org/officeDocument/2006/docPropsVTypes">
  <Template>Normal.dotm</Template>
  <Pages>155</Pages>
  <Words>12785</Words>
  <Characters>72875</Characters>
  <Lines>607</Lines>
  <Paragraphs>170</Paragraphs>
  <TotalTime>123</TotalTime>
  <ScaleCrop>false</ScaleCrop>
  <LinksUpToDate>false</LinksUpToDate>
  <CharactersWithSpaces>85490</CharactersWithSpaces>
  <Application>WPS Office_11.8.2.11716_F1E327BC-269C-435d-A152-05C5408002CA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2022-10-17T06:54:00Z</dcterms:created>
  <dc:creator>lenovo</dc:creator>
  <cp:lastModifiedBy>Luo</cp:lastModifiedBy>
  <dcterms:modified xsi:type="dcterms:W3CDTF">2023-08-21T09:42:26Z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2052-11.8.2.11716</vt:lpwstr>
  </property>
  <property fmtid="{D5CDD505-2E9C-101B-9397-08002B2CF9AE}" pid="3" name="ICV">
    <vt:lpwstr>0671E74CE3EA4B8D831089C2F3493014</vt:lpwstr>
  </property>
</Properties>
</file>