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utoSpaceDE w:val="0"/>
        <w:autoSpaceDN w:val="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b/>
          <w:bCs/>
          <w:sz w:val="52"/>
          <w:lang w:eastAsia="zh-CN"/>
        </w:rPr>
      </w:pPr>
      <w:r>
        <w:rPr>
          <w:rFonts w:hint="eastAsia" w:ascii="FangSong.GB2312" w:hAnsi="FangSong.GB2312" w:eastAsia="FangSong.GB2312"/>
          <w:b/>
          <w:bCs/>
          <w:sz w:val="52"/>
          <w:lang w:eastAsia="zh-CN"/>
        </w:rPr>
        <w:t>市级部门整体支出绩效自评报告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部门名称：</w:t>
      </w:r>
      <w:r>
        <w:rPr>
          <w:rFonts w:hint="eastAsia" w:ascii="宋体" w:hAnsi="宋体"/>
          <w:sz w:val="36"/>
          <w:lang w:eastAsia="zh-CN"/>
        </w:rPr>
        <w:t>韶关市城镇污水处理管理中心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报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人：</w:t>
      </w:r>
      <w:r>
        <w:rPr>
          <w:rFonts w:hint="eastAsia" w:ascii="宋体" w:hAnsi="宋体"/>
          <w:sz w:val="36"/>
          <w:lang w:eastAsia="zh-CN"/>
        </w:rPr>
        <w:t>黄美玲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default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联系电话：</w:t>
      </w:r>
      <w:r>
        <w:rPr>
          <w:rFonts w:hint="eastAsia" w:ascii="宋体" w:hAnsi="宋体"/>
          <w:sz w:val="36"/>
          <w:lang w:val="en-US" w:eastAsia="zh-CN"/>
        </w:rPr>
        <w:t>0751-8618953</w:t>
      </w:r>
    </w:p>
    <w:p>
      <w:pPr>
        <w:pStyle w:val="10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left"/>
        <w:rPr>
          <w:rFonts w:hint="default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填报日期：</w:t>
      </w:r>
      <w:r>
        <w:rPr>
          <w:rFonts w:hint="eastAsia" w:ascii="宋体" w:hAnsi="宋体"/>
          <w:sz w:val="36"/>
          <w:lang w:val="en-US" w:eastAsia="zh-CN"/>
        </w:rPr>
        <w:t>2023年3月13日</w:t>
      </w:r>
    </w:p>
    <w:p>
      <w:pPr>
        <w:spacing w:line="560" w:lineRule="exact"/>
        <w:ind w:left="0" w:leftChars="0" w:right="0" w:rightChars="0" w:firstLine="720" w:firstLineChars="200"/>
        <w:jc w:val="left"/>
        <w:rPr>
          <w:rFonts w:hint="eastAsia" w:ascii="宋体" w:hAnsi="宋体" w:eastAsia="宋体"/>
          <w:sz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一、部门基本情况</w:t>
      </w:r>
    </w:p>
    <w:p>
      <w:pPr>
        <w:spacing w:line="560" w:lineRule="exact"/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</w:rPr>
        <w:t>（一）部门职能</w:t>
      </w:r>
    </w:p>
    <w:p>
      <w:pPr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韶关市</w:t>
      </w:r>
      <w:r>
        <w:rPr>
          <w:rFonts w:hint="eastAsia" w:eastAsia="仿宋_GB2312"/>
          <w:sz w:val="32"/>
          <w:szCs w:val="32"/>
          <w:lang w:eastAsia="zh-CN"/>
        </w:rPr>
        <w:t>城镇污水处理</w:t>
      </w:r>
      <w:r>
        <w:rPr>
          <w:rFonts w:hint="eastAsia" w:eastAsia="仿宋_GB2312"/>
          <w:sz w:val="32"/>
          <w:szCs w:val="32"/>
        </w:rPr>
        <w:t>管理中心</w:t>
      </w:r>
      <w:r>
        <w:rPr>
          <w:rFonts w:hint="eastAsia" w:ascii="仿宋_GB2312" w:eastAsia="仿宋_GB2312"/>
          <w:sz w:val="32"/>
          <w:szCs w:val="32"/>
          <w:lang w:eastAsia="zh-CN"/>
        </w:rPr>
        <w:t>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2003年5月14日,</w:t>
      </w:r>
      <w:r>
        <w:rPr>
          <w:rFonts w:hint="eastAsia" w:ascii="仿宋_GB2312" w:eastAsia="仿宋_GB2312"/>
          <w:sz w:val="32"/>
          <w:szCs w:val="32"/>
        </w:rPr>
        <w:t>属财政补助事业单位，是隶属于韶关市住房和城乡建设管理局管理的</w:t>
      </w:r>
      <w:r>
        <w:rPr>
          <w:rFonts w:hint="eastAsia" w:ascii="仿宋_GB2312" w:eastAsia="仿宋_GB2312"/>
          <w:sz w:val="32"/>
          <w:szCs w:val="32"/>
          <w:lang w:eastAsia="zh-CN"/>
        </w:rPr>
        <w:t>公益一类事业</w:t>
      </w:r>
      <w:r>
        <w:rPr>
          <w:rFonts w:hint="eastAsia" w:ascii="仿宋_GB2312" w:eastAsia="仿宋_GB2312"/>
          <w:sz w:val="32"/>
          <w:szCs w:val="32"/>
        </w:rPr>
        <w:t>单位，执行政府会计制度，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个正股级内设机构，分别为：办公室、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建设管理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股、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运行管理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截至2022年12月31日，本单位财政核定事业编制为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人，年末实有在职人员为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人，退休人员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人，主要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职能如下：</w:t>
      </w:r>
    </w:p>
    <w:p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参与指导和协调全市城镇生活污水处理厂的建设和运行管理工作。</w:t>
      </w:r>
    </w:p>
    <w:p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收集、汇总各县（市、区）填报的污水处理设施项目建设与运行情况。</w:t>
      </w:r>
    </w:p>
    <w:p>
      <w:pPr>
        <w:numPr>
          <w:ilvl w:val="0"/>
          <w:numId w:val="0"/>
        </w:numPr>
        <w:spacing w:line="560" w:lineRule="exact"/>
        <w:ind w:left="0" w:leftChars="0" w:right="0" w:rightChars="0" w:firstLine="640" w:firstLineChars="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承办市政府和上级有关部门交办的其他事项。</w:t>
      </w:r>
    </w:p>
    <w:p>
      <w:pPr>
        <w:numPr>
          <w:ilvl w:val="0"/>
          <w:numId w:val="0"/>
        </w:numPr>
        <w:spacing w:line="560" w:lineRule="exact"/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</w:rPr>
        <w:t>年度总体工作和重点工作任务</w:t>
      </w:r>
    </w:p>
    <w:p>
      <w:pPr>
        <w:pStyle w:val="2"/>
        <w:numPr>
          <w:ilvl w:val="0"/>
          <w:numId w:val="0"/>
        </w:numPr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1、年度总体工作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2022年部门支出年初预算数为242.99万元，决算数为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1305.20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）基本支出。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本年度基本支出年初预算数为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万元，占整体支出决算数的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，主要是用于人员工资福利支出、个人家庭补助支出及日常公用经费支出，其中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。本年度基本支出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决算数比年初预算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月新增在职在编人员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（雷涛、刘思悦、傅城钢），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2022年4月去世1人（肖志毅），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（刘大伟）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，2022年10月辞职1人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（傅城钢）。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本年度项目支出年初预算数为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万元，占整体支出决算数的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主要是用于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支付市第二污水处理厂污水处理服务费等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本年度项目支出决算数比年初预算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下达2022年“全市生活污水处理设施监督管理费”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年中追加“韶关市第二污水处理厂运行费 ”1000 万元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2、重点工作任务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2022年本单位主要有2个绩效自评项目，分别为“韶关市第二污水处理厂运行费”和“全市生活污水处理设施监督管理费”。</w:t>
      </w:r>
    </w:p>
    <w:p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C0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（1）“韶关市第二污水处理厂运行费”项目。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韶关市第二污水处理厂污水处理总量为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35156900立方米，全年均按照环保要求达标排放。2022年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污泥处理量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4613.35吨，污泥无害化处置率达100%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（2）“全市生活污水处理设施监督管理费”项目。一是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抓好全市城镇生活污水处理设施运行监督管理工作。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2022年全市实际投入运行的城镇污水处理厂共100座，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总处理能力59.177万吨/日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，全年运行情况稳定，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均按照环保要求达标排放，污泥无害化处置率达100%。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对已建成投入运行的城镇生活污水处理厂进行全覆盖检查，加大监督管理力度，督促各县（市、区）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提高运营管理水平，确保污水处理厂正常、规范、稳定运行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城镇生活污水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处理设施建设督导工作。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2022年省、市下达的纳入今年建设目标的三个项目顺利完成，其中：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2022年新建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镇级污水管网任务为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4公里，全年共建设154.63公里，超额完成目标；</w:t>
      </w:r>
      <w:r>
        <w:rPr>
          <w:rFonts w:hint="eastAsia" w:ascii="仿宋_GB2312" w:hAnsi="仿宋_GB2312" w:eastAsia="仿宋_GB2312" w:cs="仿宋_GB2312"/>
          <w:sz w:val="32"/>
          <w:szCs w:val="32"/>
        </w:rPr>
        <w:t>翁源县县城罗坑水污水处理厂（0.5万吨/日）、乳源瑶族自治县污水处理厂二期扩建工程（1.5万吨/日）已正式通水运行；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乐昌市坪石镇雅鲁污水处理厂提标扩建工程（2万吨/日）建设任务已完成。</w:t>
      </w:r>
    </w:p>
    <w:p>
      <w:pPr>
        <w:pStyle w:val="2"/>
        <w:numPr>
          <w:ilvl w:val="0"/>
          <w:numId w:val="0"/>
        </w:numPr>
        <w:spacing w:after="0" w:line="560" w:lineRule="exact"/>
        <w:ind w:left="63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3、上级交办工作任务</w:t>
      </w:r>
    </w:p>
    <w:p>
      <w:pPr>
        <w:pStyle w:val="2"/>
        <w:numPr>
          <w:ilvl w:val="0"/>
          <w:numId w:val="0"/>
        </w:numPr>
        <w:spacing w:after="0"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大陂河、良村排水渠等市区重点小河流排口整治督导工作。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每周对良村排水渠、大陂河、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犁湾河、靖村排水渠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进行巡河排查，现场查看排污情况，并使用便携式水质检测仪器对排污口水质进行采样检测，建立调查检测表，定期记录数据，汇总小河流氨氮指标，记录河流整治情况。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截至12月末，开展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现场巡查督导47次，水质检测13次（每周一次），旬报通报9次。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在巡河中摸清污水排口情况并建立整改台账动态更新，共排查发现需整改排口39个。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完成市区污水处理设施再生水利用情况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市本级生活污水处理厂再生水利用情况进行实地调研，并形成《市区城市污水处理设施再生水利用情况的调研报告》报送上级有关部门参考决策。截至2022年12月末，市区城市再生水利用量为405.29万吨，再生水利用率为 3.48%。</w:t>
      </w:r>
    </w:p>
    <w:p>
      <w:pPr>
        <w:spacing w:line="560" w:lineRule="exact"/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</w:rPr>
        <w:t>（三）部门整体支出绩效目标</w:t>
      </w:r>
    </w:p>
    <w:p>
      <w:pPr>
        <w:pStyle w:val="2"/>
        <w:spacing w:after="0" w:line="560" w:lineRule="exact"/>
        <w:ind w:left="0" w:leftChars="0"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1、“韶关市第二污水处理厂运行费”项目</w:t>
      </w:r>
      <w:r>
        <w:rPr>
          <w:rFonts w:hint="eastAsia" w:eastAsia="仿宋_GB2312"/>
          <w:sz w:val="32"/>
          <w:szCs w:val="32"/>
          <w:lang w:val="en-US" w:eastAsia="zh-CN"/>
        </w:rPr>
        <w:t>绩效目标。确保市第二污水处理厂的正常运行，使项目设施始终处于良好的运营状态并能够安全稳定地处理污水，处理后尾水排放水质达到国家排放标准，同时使污泥处理项目正常稳定运行，确保污泥得到无害化处理，符合污染减排核查相关要求。</w:t>
      </w:r>
    </w:p>
    <w:p>
      <w:pPr>
        <w:pStyle w:val="2"/>
        <w:spacing w:after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2、“全市生活污水处理设施监督管理费”项目绩效目标。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对已建成投入运行的城镇生活污水处理厂进行全覆盖检查，加大监督管理力度，督促各县（市、区）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提高运营管理水平，确保污水处理厂正常、规范、稳定运行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助力我市打好污染防治攻坚战，筑牢粤北生态屏障，为推动北部生态发展区高质量发展增添动力。</w:t>
      </w:r>
    </w:p>
    <w:p>
      <w:pPr>
        <w:spacing w:line="560" w:lineRule="exact"/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</w:rPr>
        <w:t>（四）部门整体支出情况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（单位：万元）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105"/>
        <w:gridCol w:w="1476"/>
        <w:gridCol w:w="141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49" w:type="dxa"/>
            <w:vMerge w:val="restart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支出执行年度</w:t>
            </w:r>
          </w:p>
        </w:tc>
        <w:tc>
          <w:tcPr>
            <w:tcW w:w="3581" w:type="dxa"/>
            <w:gridSpan w:val="2"/>
            <w:noWrap w:val="0"/>
            <w:vAlign w:val="center"/>
          </w:tcPr>
          <w:p>
            <w:pPr>
              <w:pStyle w:val="6"/>
              <w:spacing w:after="0" w:line="2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预算资金额度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pStyle w:val="6"/>
              <w:spacing w:after="0" w:line="2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决算资金支出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49" w:type="dxa"/>
            <w:vMerge w:val="continue"/>
            <w:noWrap w:val="0"/>
            <w:vAlign w:val="center"/>
          </w:tcPr>
          <w:p>
            <w:pPr>
              <w:pStyle w:val="6"/>
              <w:spacing w:after="0" w:line="2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基本支出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项目支出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基本支出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242.89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3000.00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233.37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3022.01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242.99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0.00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273.41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spacing w:after="0"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1031.79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Times New Roman"/>
          <w:kern w:val="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highlight w:val="none"/>
          <w:lang w:val="en-US" w:eastAsia="zh-CN"/>
        </w:rPr>
        <w:t>本单位资金全额来源于市级财政预算资金，通过上表对比可知，2022年度比2021年度资金减少，主要原因是：“韶关市第二污水处理厂运行费”项目减少（市财政在“二下”环节未作安排）。</w:t>
      </w:r>
    </w:p>
    <w:p>
      <w:pPr>
        <w:widowControl/>
        <w:numPr>
          <w:ilvl w:val="0"/>
          <w:numId w:val="0"/>
        </w:numPr>
        <w:spacing w:line="560" w:lineRule="exact"/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二、</w:t>
      </w:r>
      <w:r>
        <w:rPr>
          <w:rFonts w:hint="eastAsia" w:ascii="黑体" w:hAnsi="黑体" w:eastAsia="黑体"/>
          <w:sz w:val="32"/>
        </w:rPr>
        <w:t>绩效自评情况</w:t>
      </w:r>
    </w:p>
    <w:p>
      <w:pPr>
        <w:numPr>
          <w:ilvl w:val="0"/>
          <w:numId w:val="0"/>
        </w:numPr>
        <w:spacing w:line="560" w:lineRule="exact"/>
        <w:ind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（一）预算执行情况（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单位：万元）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88"/>
        <w:gridCol w:w="1608"/>
        <w:gridCol w:w="195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人员经费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公用经费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年初预算资金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226.49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16.50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决算资金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255.65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17.76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1031.79</w:t>
            </w:r>
          </w:p>
        </w:tc>
      </w:tr>
    </w:tbl>
    <w:p>
      <w:pPr>
        <w:pStyle w:val="2"/>
        <w:numPr>
          <w:ilvl w:val="0"/>
          <w:numId w:val="0"/>
        </w:numPr>
        <w:spacing w:beforeLines="0" w:after="0" w:afterLines="0" w:line="560" w:lineRule="exact"/>
        <w:ind w:left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（二）部门整体支出目标实现程度及使用绩效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韶关市第二污水处理厂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稳定运行，均按照环保要求达标排放，污泥无害化处置率达100%。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年中追加的“韶关市第二污水处理厂运行费 ”1000 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资金拨付到位率达到100%，群众满意度大于90％。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2022年城市（县城）生活污水处理设施共14座，总处理能力为46.7万吨/日，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污水处理总量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14892.55万吨。市区城市生活污水处理设施生活污水集中收集率为27.54%，生活污水集中处理率为100%。镇级污水处理设施共86座，总处理能力为12.477万吨/日，污水处理总量约1920.25万吨。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firstLine="640" w:firstLineChars="200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部门整体支出目标均完满完成，污水处理厂的规范化正常运行，可有效</w:t>
      </w:r>
      <w:r>
        <w:rPr>
          <w:rFonts w:hint="eastAsia" w:ascii="仿宋_GB2312" w:eastAsia="仿宋_GB2312"/>
          <w:color w:val="auto"/>
          <w:sz w:val="32"/>
          <w:szCs w:val="32"/>
        </w:rPr>
        <w:t>改善人民的生活质量，建设绿色的和谐家园，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</w:t>
      </w:r>
      <w:r>
        <w:rPr>
          <w:rFonts w:ascii="仿宋_GB2312" w:eastAsia="仿宋_GB2312"/>
          <w:color w:val="auto"/>
          <w:sz w:val="32"/>
          <w:szCs w:val="32"/>
        </w:rPr>
        <w:t>促进我市的可持续发展具有重大意义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</w:rPr>
        <w:t>自评结论</w:t>
      </w:r>
    </w:p>
    <w:p>
      <w:pPr>
        <w:numPr>
          <w:ilvl w:val="0"/>
          <w:numId w:val="0"/>
        </w:numPr>
        <w:spacing w:beforeLines="0" w:afterLines="0" w:line="560" w:lineRule="exact"/>
        <w:ind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2022年部门整体支出自评</w:t>
      </w:r>
      <w:r>
        <w:rPr>
          <w:rFonts w:hint="eastAsia" w:ascii="仿宋_GB2312" w:eastAsia="仿宋_GB2312"/>
          <w:sz w:val="32"/>
          <w:szCs w:val="32"/>
          <w:lang w:eastAsia="zh-CN"/>
        </w:rPr>
        <w:t>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。从整体情况来看，我单位严格按照年初预算安排部门整体支出，在支出过程中，严格遵守各项规章制度，所有项目都制定了资金使用计划，严格按计划实施，尤其是在项目支出上，严格执行专项资金财务管理办法，专款专用，无截留、无挪用等现象。</w:t>
      </w:r>
      <w:bookmarkStart w:id="0" w:name="_GoBack"/>
      <w:bookmarkEnd w:id="0"/>
    </w:p>
    <w:p>
      <w:pPr>
        <w:numPr>
          <w:ilvl w:val="0"/>
          <w:numId w:val="0"/>
        </w:numPr>
        <w:spacing w:beforeLines="0" w:afterLines="0" w:line="560" w:lineRule="exact"/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三、</w:t>
      </w:r>
      <w:r>
        <w:rPr>
          <w:rFonts w:hint="eastAsia" w:ascii="黑体" w:hAnsi="黑体" w:eastAsia="黑体"/>
          <w:sz w:val="32"/>
        </w:rPr>
        <w:t>存在问题及改进意见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（一）存在问题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1、因市财政库款紧张，2022年部分项目资金在2023年支付。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2、内部控制制度需进一步完善，健全内部管理机制，规范资金使用流程。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（二）改进意见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1、科学合理编制预算，严格执行预算。细化部门预算内容，保证预算的精准性，通过中期预算执行情况合理调配资金，提高资金使用效益。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2、进一步加强项目资金管理。严格执行项目管理程序化，实现项目申报、实施、拨付、评价全流程监督与控制，规范资金使用及管理，提高项目执行率，提高资金的使用效益。</w:t>
      </w:r>
    </w:p>
    <w:p>
      <w:pPr>
        <w:pStyle w:val="2"/>
        <w:numPr>
          <w:ilvl w:val="0"/>
          <w:numId w:val="0"/>
        </w:numPr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3、进一步完善内部管理制度，提升管理效能，更好地履行单位职能。</w:t>
      </w:r>
    </w:p>
    <w:p>
      <w:pPr>
        <w:pStyle w:val="2"/>
        <w:numPr>
          <w:ilvl w:val="0"/>
          <w:numId w:val="0"/>
        </w:numPr>
        <w:spacing w:after="0" w:line="560" w:lineRule="exact"/>
        <w:ind w:leftChars="200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pStyle w:val="2"/>
        <w:numPr>
          <w:ilvl w:val="0"/>
          <w:numId w:val="0"/>
        </w:numPr>
        <w:spacing w:after="0" w:line="560" w:lineRule="exact"/>
        <w:rPr>
          <w:rFonts w:hint="eastAsia"/>
          <w:lang w:eastAsia="zh-CN"/>
        </w:rPr>
      </w:pPr>
    </w:p>
    <w:p/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(%2)"/>
      <w:lvlJc w:val="left"/>
      <w:pPr>
        <w:tabs>
          <w:tab w:val="left" w:pos="0"/>
        </w:tabs>
        <w:ind w:left="420" w:firstLine="0"/>
      </w:pPr>
      <w:rPr>
        <w:rFonts w:hint="eastAsia" w:ascii="楷体" w:hAnsi="楷体" w:eastAsia="楷体" w:cs="楷体"/>
        <w:b w:val="0"/>
        <w:bCs w:val="0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default" w:ascii="Times New Roman" w:hAnsi="Times New Roman" w:eastAsia="仿宋" w:cs="Times New Roman"/>
        <w:b w:val="0"/>
        <w:bCs w:val="0"/>
        <w:i w:val="0"/>
        <w:iCs w:val="0"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E6690"/>
    <w:rsid w:val="09044398"/>
    <w:rsid w:val="207D2C9A"/>
    <w:rsid w:val="27921D79"/>
    <w:rsid w:val="2B8F6BBE"/>
    <w:rsid w:val="2C902915"/>
    <w:rsid w:val="2DF11AEB"/>
    <w:rsid w:val="30733B9D"/>
    <w:rsid w:val="30B00E50"/>
    <w:rsid w:val="39A51E49"/>
    <w:rsid w:val="39AA7904"/>
    <w:rsid w:val="50001D5E"/>
    <w:rsid w:val="51863FBA"/>
    <w:rsid w:val="69320B23"/>
    <w:rsid w:val="6DC54A8C"/>
    <w:rsid w:val="79C0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/>
    </w:pPr>
    <w:rPr>
      <w:rFonts w:ascii="Tahoma" w:hAnsi="Tahom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8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2D8854C25E2441999D42C78BAE7F2AF2</vt:lpwstr>
  </property>
</Properties>
</file>