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华文细黑" w:hAnsi="华文细黑" w:eastAsia="华文细黑"/>
          <w:b/>
          <w:bCs/>
          <w:color w:val="auto"/>
          <w:sz w:val="56"/>
          <w:szCs w:val="56"/>
        </w:rPr>
      </w:pPr>
    </w:p>
    <w:p>
      <w:pPr>
        <w:ind w:firstLine="0" w:firstLineChars="0"/>
        <w:jc w:val="center"/>
        <w:rPr>
          <w:rFonts w:ascii="华文细黑" w:hAnsi="华文细黑" w:eastAsia="华文细黑"/>
          <w:b/>
          <w:bCs/>
          <w:color w:val="auto"/>
          <w:sz w:val="56"/>
          <w:szCs w:val="56"/>
        </w:rPr>
      </w:pPr>
    </w:p>
    <w:p>
      <w:pPr>
        <w:ind w:firstLine="0" w:firstLineChars="0"/>
        <w:jc w:val="center"/>
        <w:rPr>
          <w:rFonts w:ascii="华文细黑" w:hAnsi="华文细黑" w:eastAsia="华文细黑"/>
          <w:b/>
          <w:bCs/>
          <w:color w:val="auto"/>
          <w:sz w:val="56"/>
          <w:szCs w:val="56"/>
        </w:rPr>
      </w:pPr>
    </w:p>
    <w:p>
      <w:pPr>
        <w:ind w:firstLine="0" w:firstLineChars="0"/>
        <w:jc w:val="center"/>
        <w:rPr>
          <w:rFonts w:ascii="华文细黑" w:hAnsi="华文细黑" w:eastAsia="华文细黑"/>
          <w:b/>
          <w:bCs/>
          <w:color w:val="auto"/>
          <w:sz w:val="56"/>
          <w:szCs w:val="56"/>
        </w:rPr>
      </w:pPr>
    </w:p>
    <w:p>
      <w:pPr>
        <w:ind w:firstLine="0" w:firstLineChars="0"/>
        <w:jc w:val="center"/>
        <w:rPr>
          <w:rFonts w:ascii="华文细黑" w:hAnsi="华文细黑" w:eastAsia="华文细黑"/>
          <w:b/>
          <w:bCs/>
          <w:color w:val="auto"/>
          <w:sz w:val="56"/>
          <w:szCs w:val="56"/>
        </w:rPr>
      </w:pPr>
      <w:r>
        <w:rPr>
          <w:rFonts w:hint="eastAsia" w:ascii="华文细黑" w:hAnsi="华文细黑" w:eastAsia="华文细黑"/>
          <w:b/>
          <w:bCs/>
          <w:color w:val="auto"/>
          <w:sz w:val="56"/>
          <w:szCs w:val="56"/>
        </w:rPr>
        <w:t>韶关市历史文化名城保护办法（修订）</w:t>
      </w:r>
    </w:p>
    <w:p>
      <w:pPr>
        <w:spacing w:line="560" w:lineRule="atLeast"/>
        <w:ind w:firstLine="0" w:firstLineChars="0"/>
        <w:jc w:val="center"/>
        <w:rPr>
          <w:rFonts w:ascii="仿宋" w:hAnsi="仿宋" w:eastAsia="仿宋" w:cs="仿宋"/>
          <w:b/>
          <w:bCs/>
          <w:color w:val="auto"/>
          <w:sz w:val="44"/>
          <w:szCs w:val="44"/>
        </w:rPr>
      </w:pPr>
      <w:r>
        <w:rPr>
          <w:rFonts w:hint="eastAsia" w:ascii="仿宋" w:hAnsi="仿宋" w:eastAsia="仿宋" w:cs="仿宋"/>
          <w:b/>
          <w:bCs/>
          <w:color w:val="auto"/>
          <w:sz w:val="44"/>
          <w:szCs w:val="44"/>
        </w:rPr>
        <w:t>（</w:t>
      </w:r>
      <w:r>
        <w:rPr>
          <w:rFonts w:hint="eastAsia" w:ascii="仿宋" w:hAnsi="仿宋" w:eastAsia="仿宋" w:cs="仿宋"/>
          <w:b/>
          <w:bCs/>
          <w:color w:val="auto"/>
          <w:sz w:val="44"/>
          <w:szCs w:val="44"/>
          <w:lang w:eastAsia="zh-CN"/>
        </w:rPr>
        <w:t>第三次征求意见稿</w:t>
      </w:r>
      <w:r>
        <w:rPr>
          <w:rFonts w:hint="eastAsia" w:ascii="仿宋" w:hAnsi="仿宋" w:eastAsia="仿宋" w:cs="仿宋"/>
          <w:b/>
          <w:bCs/>
          <w:color w:val="auto"/>
          <w:sz w:val="44"/>
          <w:szCs w:val="44"/>
          <w:lang w:val="en-US" w:eastAsia="zh-CN"/>
        </w:rPr>
        <w:t>清洁</w:t>
      </w:r>
      <w:r>
        <w:rPr>
          <w:rFonts w:hint="eastAsia" w:ascii="仿宋" w:hAnsi="仿宋" w:eastAsia="仿宋" w:cs="仿宋"/>
          <w:b/>
          <w:bCs/>
          <w:color w:val="auto"/>
          <w:sz w:val="44"/>
          <w:szCs w:val="44"/>
          <w:lang w:eastAsia="zh-CN"/>
        </w:rPr>
        <w:t>版</w:t>
      </w:r>
      <w:r>
        <w:rPr>
          <w:rFonts w:hint="eastAsia" w:ascii="仿宋" w:hAnsi="仿宋" w:eastAsia="仿宋" w:cs="仿宋"/>
          <w:b/>
          <w:bCs/>
          <w:color w:val="auto"/>
          <w:sz w:val="44"/>
          <w:szCs w:val="44"/>
        </w:rPr>
        <w:t>）</w:t>
      </w: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p>
    <w:p>
      <w:pPr>
        <w:ind w:firstLine="0" w:firstLineChars="0"/>
        <w:jc w:val="center"/>
        <w:rPr>
          <w:rFonts w:ascii="华文细黑" w:hAnsi="华文细黑" w:eastAsia="华文细黑"/>
          <w:b/>
          <w:bCs/>
          <w:color w:val="auto"/>
          <w:sz w:val="24"/>
        </w:rPr>
      </w:pPr>
      <w:r>
        <w:rPr>
          <w:rFonts w:hint="eastAsia" w:ascii="华文细黑" w:hAnsi="华文细黑" w:eastAsia="华文细黑"/>
          <w:b/>
          <w:bCs/>
          <w:color w:val="auto"/>
          <w:sz w:val="24"/>
        </w:rPr>
        <w:t>2023年</w:t>
      </w:r>
      <w:r>
        <w:rPr>
          <w:rFonts w:hint="eastAsia" w:ascii="华文细黑" w:hAnsi="华文细黑" w:eastAsia="华文细黑"/>
          <w:b/>
          <w:bCs/>
          <w:color w:val="auto"/>
          <w:sz w:val="24"/>
          <w:lang w:val="en-US" w:eastAsia="zh-CN"/>
        </w:rPr>
        <w:t>10</w:t>
      </w:r>
      <w:r>
        <w:rPr>
          <w:rFonts w:hint="eastAsia" w:ascii="华文细黑" w:hAnsi="华文细黑" w:eastAsia="华文细黑"/>
          <w:b/>
          <w:bCs/>
          <w:color w:val="auto"/>
          <w:sz w:val="24"/>
        </w:rPr>
        <w:t>月</w:t>
      </w:r>
    </w:p>
    <w:p>
      <w:pPr>
        <w:ind w:firstLine="880"/>
        <w:jc w:val="center"/>
        <w:rPr>
          <w:rFonts w:ascii="黑体" w:hAnsi="黑体" w:eastAsia="黑体"/>
          <w:color w:val="auto"/>
          <w:sz w:val="44"/>
          <w:szCs w:val="44"/>
        </w:rPr>
      </w:pPr>
      <w:r>
        <w:rPr>
          <w:rFonts w:ascii="方正小标宋简体" w:eastAsia="方正小标宋简体"/>
          <w:color w:val="auto"/>
          <w:sz w:val="44"/>
          <w:szCs w:val="44"/>
        </w:rPr>
        <w:br w:type="page"/>
      </w:r>
    </w:p>
    <w:p>
      <w:pPr>
        <w:pStyle w:val="11"/>
        <w:tabs>
          <w:tab w:val="right" w:leader="dot" w:pos="9070"/>
        </w:tabs>
      </w:pPr>
      <w:r>
        <w:rPr>
          <w:color w:val="auto"/>
        </w:rPr>
        <w:fldChar w:fldCharType="begin"/>
      </w:r>
      <w:r>
        <w:rPr>
          <w:color w:val="auto"/>
        </w:rPr>
        <w:instrText xml:space="preserve">TOC\o"1-2"\h\z\u</w:instrText>
      </w:r>
      <w:r>
        <w:rPr>
          <w:color w:val="auto"/>
        </w:rPr>
        <w:fldChar w:fldCharType="separate"/>
      </w:r>
      <w:r>
        <w:rPr>
          <w:color w:val="auto"/>
        </w:rPr>
        <w:fldChar w:fldCharType="begin"/>
      </w:r>
      <w:r>
        <w:instrText xml:space="preserve"> HYPERLINK \l _Toc19450 </w:instrText>
      </w:r>
      <w:r>
        <w:fldChar w:fldCharType="separate"/>
      </w:r>
      <w:r>
        <w:t>第一章</w:t>
      </w:r>
      <w:r>
        <w:rPr>
          <w:rFonts w:hint="eastAsia"/>
          <w:lang w:val="en-US" w:eastAsia="zh-CN"/>
        </w:rPr>
        <w:t xml:space="preserve"> </w:t>
      </w:r>
      <w:r>
        <w:t>总则</w:t>
      </w:r>
      <w:r>
        <w:tab/>
      </w:r>
      <w:r>
        <w:fldChar w:fldCharType="begin"/>
      </w:r>
      <w:r>
        <w:instrText xml:space="preserve"> PAGEREF _Toc19450 \h </w:instrText>
      </w:r>
      <w:r>
        <w:fldChar w:fldCharType="separate"/>
      </w:r>
      <w:r>
        <w:t>1</w:t>
      </w:r>
      <w:r>
        <w:fldChar w:fldCharType="end"/>
      </w:r>
      <w:r>
        <w:rPr>
          <w:color w:val="auto"/>
        </w:rPr>
        <w:fldChar w:fldCharType="end"/>
      </w:r>
    </w:p>
    <w:p>
      <w:pPr>
        <w:pStyle w:val="12"/>
        <w:tabs>
          <w:tab w:val="right" w:leader="dot" w:pos="9070"/>
        </w:tabs>
      </w:pPr>
      <w:r>
        <w:rPr>
          <w:color w:val="auto"/>
        </w:rPr>
        <w:fldChar w:fldCharType="begin"/>
      </w:r>
      <w:r>
        <w:instrText xml:space="preserve"> HYPERLINK \l _Toc947 </w:instrText>
      </w:r>
      <w:r>
        <w:fldChar w:fldCharType="separate"/>
      </w:r>
      <w:r>
        <w:rPr>
          <w:rFonts w:hint="eastAsia" w:ascii="黑体" w:hAnsi="黑体" w:eastAsia="黑体"/>
          <w:i w:val="0"/>
          <w:szCs w:val="30"/>
          <w:lang w:val="en-US"/>
        </w:rPr>
        <w:t xml:space="preserve">第一条 </w:t>
      </w:r>
      <w:r>
        <w:tab/>
      </w:r>
      <w:r>
        <w:fldChar w:fldCharType="begin"/>
      </w:r>
      <w:r>
        <w:instrText xml:space="preserve"> PAGEREF _Toc947 \h </w:instrText>
      </w:r>
      <w:r>
        <w:fldChar w:fldCharType="separate"/>
      </w:r>
      <w:r>
        <w:t>1</w:t>
      </w:r>
      <w:r>
        <w:fldChar w:fldCharType="end"/>
      </w:r>
      <w:r>
        <w:rPr>
          <w:color w:val="auto"/>
        </w:rPr>
        <w:fldChar w:fldCharType="end"/>
      </w:r>
    </w:p>
    <w:p>
      <w:pPr>
        <w:pStyle w:val="12"/>
        <w:tabs>
          <w:tab w:val="right" w:leader="dot" w:pos="9070"/>
        </w:tabs>
      </w:pPr>
      <w:r>
        <w:rPr>
          <w:color w:val="auto"/>
        </w:rPr>
        <w:fldChar w:fldCharType="begin"/>
      </w:r>
      <w:r>
        <w:instrText xml:space="preserve"> HYPERLINK \l _Toc14394 </w:instrText>
      </w:r>
      <w:r>
        <w:fldChar w:fldCharType="separate"/>
      </w:r>
      <w:r>
        <w:rPr>
          <w:rFonts w:hint="eastAsia" w:ascii="黑体" w:hAnsi="黑体" w:eastAsia="黑体"/>
          <w:bCs/>
          <w:i w:val="0"/>
          <w:szCs w:val="30"/>
          <w:lang w:val="en-US"/>
        </w:rPr>
        <w:t xml:space="preserve">第二条 </w:t>
      </w:r>
      <w:r>
        <w:tab/>
      </w:r>
      <w:r>
        <w:fldChar w:fldCharType="begin"/>
      </w:r>
      <w:r>
        <w:instrText xml:space="preserve"> PAGEREF _Toc14394 \h </w:instrText>
      </w:r>
      <w:r>
        <w:fldChar w:fldCharType="separate"/>
      </w:r>
      <w:r>
        <w:t>1</w:t>
      </w:r>
      <w:r>
        <w:fldChar w:fldCharType="end"/>
      </w:r>
      <w:r>
        <w:rPr>
          <w:color w:val="auto"/>
        </w:rPr>
        <w:fldChar w:fldCharType="end"/>
      </w:r>
    </w:p>
    <w:p>
      <w:pPr>
        <w:pStyle w:val="12"/>
        <w:tabs>
          <w:tab w:val="right" w:leader="dot" w:pos="9070"/>
        </w:tabs>
      </w:pPr>
      <w:r>
        <w:rPr>
          <w:color w:val="auto"/>
        </w:rPr>
        <w:fldChar w:fldCharType="begin"/>
      </w:r>
      <w:r>
        <w:instrText xml:space="preserve"> HYPERLINK \l _Toc17667 </w:instrText>
      </w:r>
      <w:r>
        <w:fldChar w:fldCharType="separate"/>
      </w:r>
      <w:r>
        <w:rPr>
          <w:rFonts w:hint="eastAsia" w:ascii="黑体" w:hAnsi="黑体" w:eastAsia="黑体"/>
          <w:bCs/>
          <w:i w:val="0"/>
          <w:szCs w:val="30"/>
          <w:lang w:val="en-US"/>
        </w:rPr>
        <w:t xml:space="preserve">第三条 </w:t>
      </w:r>
      <w:r>
        <w:tab/>
      </w:r>
      <w:r>
        <w:fldChar w:fldCharType="begin"/>
      </w:r>
      <w:r>
        <w:instrText xml:space="preserve"> PAGEREF _Toc17667 \h </w:instrText>
      </w:r>
      <w:r>
        <w:fldChar w:fldCharType="separate"/>
      </w:r>
      <w:r>
        <w:t>1</w:t>
      </w:r>
      <w:r>
        <w:fldChar w:fldCharType="end"/>
      </w:r>
      <w:r>
        <w:rPr>
          <w:color w:val="auto"/>
        </w:rPr>
        <w:fldChar w:fldCharType="end"/>
      </w:r>
    </w:p>
    <w:p>
      <w:pPr>
        <w:pStyle w:val="12"/>
        <w:tabs>
          <w:tab w:val="right" w:leader="dot" w:pos="9070"/>
        </w:tabs>
      </w:pPr>
      <w:r>
        <w:rPr>
          <w:color w:val="auto"/>
        </w:rPr>
        <w:fldChar w:fldCharType="begin"/>
      </w:r>
      <w:r>
        <w:instrText xml:space="preserve"> HYPERLINK \l _Toc10044 </w:instrText>
      </w:r>
      <w:r>
        <w:fldChar w:fldCharType="separate"/>
      </w:r>
      <w:r>
        <w:rPr>
          <w:rFonts w:hint="eastAsia" w:ascii="黑体" w:hAnsi="黑体" w:eastAsia="黑体"/>
          <w:bCs/>
          <w:i w:val="0"/>
          <w:szCs w:val="30"/>
          <w:lang w:val="en-US"/>
        </w:rPr>
        <w:t xml:space="preserve">第四条 </w:t>
      </w:r>
      <w:r>
        <w:tab/>
      </w:r>
      <w:r>
        <w:fldChar w:fldCharType="begin"/>
      </w:r>
      <w:r>
        <w:instrText xml:space="preserve"> PAGEREF _Toc10044 \h </w:instrText>
      </w:r>
      <w:r>
        <w:fldChar w:fldCharType="separate"/>
      </w:r>
      <w:r>
        <w:t>1</w:t>
      </w:r>
      <w:r>
        <w:fldChar w:fldCharType="end"/>
      </w:r>
      <w:r>
        <w:rPr>
          <w:color w:val="auto"/>
        </w:rPr>
        <w:fldChar w:fldCharType="end"/>
      </w:r>
    </w:p>
    <w:p>
      <w:pPr>
        <w:pStyle w:val="12"/>
        <w:tabs>
          <w:tab w:val="right" w:leader="dot" w:pos="9070"/>
        </w:tabs>
      </w:pPr>
      <w:r>
        <w:rPr>
          <w:color w:val="auto"/>
        </w:rPr>
        <w:fldChar w:fldCharType="begin"/>
      </w:r>
      <w:r>
        <w:instrText xml:space="preserve"> HYPERLINK \l _Toc4035 </w:instrText>
      </w:r>
      <w:r>
        <w:fldChar w:fldCharType="separate"/>
      </w:r>
      <w:r>
        <w:rPr>
          <w:rFonts w:hint="eastAsia" w:ascii="黑体" w:hAnsi="黑体" w:eastAsia="黑体"/>
          <w:bCs/>
          <w:i w:val="0"/>
          <w:szCs w:val="30"/>
          <w:lang w:val="en-US"/>
        </w:rPr>
        <w:t xml:space="preserve">第五条 </w:t>
      </w:r>
      <w:r>
        <w:tab/>
      </w:r>
      <w:r>
        <w:fldChar w:fldCharType="begin"/>
      </w:r>
      <w:r>
        <w:instrText xml:space="preserve"> PAGEREF _Toc4035 \h </w:instrText>
      </w:r>
      <w:r>
        <w:fldChar w:fldCharType="separate"/>
      </w:r>
      <w:r>
        <w:t>2</w:t>
      </w:r>
      <w:r>
        <w:fldChar w:fldCharType="end"/>
      </w:r>
      <w:r>
        <w:rPr>
          <w:color w:val="auto"/>
        </w:rPr>
        <w:fldChar w:fldCharType="end"/>
      </w:r>
    </w:p>
    <w:p>
      <w:pPr>
        <w:pStyle w:val="12"/>
        <w:tabs>
          <w:tab w:val="right" w:leader="dot" w:pos="9070"/>
        </w:tabs>
      </w:pPr>
      <w:r>
        <w:rPr>
          <w:color w:val="auto"/>
        </w:rPr>
        <w:fldChar w:fldCharType="begin"/>
      </w:r>
      <w:r>
        <w:instrText xml:space="preserve"> HYPERLINK \l _Toc28110 </w:instrText>
      </w:r>
      <w:r>
        <w:fldChar w:fldCharType="separate"/>
      </w:r>
      <w:r>
        <w:rPr>
          <w:rFonts w:hint="eastAsia" w:ascii="黑体" w:hAnsi="黑体" w:eastAsia="黑体"/>
          <w:bCs/>
          <w:i w:val="0"/>
          <w:szCs w:val="30"/>
          <w:lang w:val="en-US"/>
        </w:rPr>
        <w:t xml:space="preserve">第六条 </w:t>
      </w:r>
      <w:r>
        <w:tab/>
      </w:r>
      <w:r>
        <w:fldChar w:fldCharType="begin"/>
      </w:r>
      <w:r>
        <w:instrText xml:space="preserve"> PAGEREF _Toc28110 \h </w:instrText>
      </w:r>
      <w:r>
        <w:fldChar w:fldCharType="separate"/>
      </w:r>
      <w:r>
        <w:t>2</w:t>
      </w:r>
      <w:r>
        <w:fldChar w:fldCharType="end"/>
      </w:r>
      <w:r>
        <w:rPr>
          <w:color w:val="auto"/>
        </w:rPr>
        <w:fldChar w:fldCharType="end"/>
      </w:r>
    </w:p>
    <w:p>
      <w:pPr>
        <w:pStyle w:val="12"/>
        <w:tabs>
          <w:tab w:val="right" w:leader="dot" w:pos="9070"/>
        </w:tabs>
      </w:pPr>
      <w:r>
        <w:rPr>
          <w:color w:val="auto"/>
        </w:rPr>
        <w:fldChar w:fldCharType="begin"/>
      </w:r>
      <w:r>
        <w:instrText xml:space="preserve"> HYPERLINK \l _Toc32056 </w:instrText>
      </w:r>
      <w:r>
        <w:fldChar w:fldCharType="separate"/>
      </w:r>
      <w:r>
        <w:rPr>
          <w:rFonts w:hint="eastAsia" w:ascii="黑体" w:hAnsi="黑体" w:eastAsia="黑体"/>
          <w:bCs/>
          <w:i w:val="0"/>
          <w:szCs w:val="30"/>
          <w:lang w:val="en-US"/>
        </w:rPr>
        <w:t xml:space="preserve">第七条 </w:t>
      </w:r>
      <w:r>
        <w:tab/>
      </w:r>
      <w:r>
        <w:fldChar w:fldCharType="begin"/>
      </w:r>
      <w:r>
        <w:instrText xml:space="preserve"> PAGEREF _Toc32056 \h </w:instrText>
      </w:r>
      <w:r>
        <w:fldChar w:fldCharType="separate"/>
      </w:r>
      <w:r>
        <w:t>3</w:t>
      </w:r>
      <w:r>
        <w:fldChar w:fldCharType="end"/>
      </w:r>
      <w:r>
        <w:rPr>
          <w:color w:val="auto"/>
        </w:rPr>
        <w:fldChar w:fldCharType="end"/>
      </w:r>
    </w:p>
    <w:p>
      <w:pPr>
        <w:pStyle w:val="12"/>
        <w:tabs>
          <w:tab w:val="right" w:leader="dot" w:pos="9070"/>
        </w:tabs>
      </w:pPr>
      <w:r>
        <w:rPr>
          <w:color w:val="auto"/>
        </w:rPr>
        <w:fldChar w:fldCharType="begin"/>
      </w:r>
      <w:r>
        <w:instrText xml:space="preserve"> HYPERLINK \l _Toc16646 </w:instrText>
      </w:r>
      <w:r>
        <w:fldChar w:fldCharType="separate"/>
      </w:r>
      <w:r>
        <w:rPr>
          <w:rFonts w:hint="eastAsia" w:ascii="黑体" w:hAnsi="黑体" w:eastAsia="黑体"/>
          <w:bCs/>
          <w:i w:val="0"/>
          <w:szCs w:val="30"/>
          <w:lang w:val="en-US"/>
        </w:rPr>
        <w:t xml:space="preserve">第八条 </w:t>
      </w:r>
      <w:r>
        <w:tab/>
      </w:r>
      <w:r>
        <w:fldChar w:fldCharType="begin"/>
      </w:r>
      <w:r>
        <w:instrText xml:space="preserve"> PAGEREF _Toc16646 \h </w:instrText>
      </w:r>
      <w:r>
        <w:fldChar w:fldCharType="separate"/>
      </w:r>
      <w:r>
        <w:t>3</w:t>
      </w:r>
      <w:r>
        <w:fldChar w:fldCharType="end"/>
      </w:r>
      <w:r>
        <w:rPr>
          <w:color w:val="auto"/>
        </w:rPr>
        <w:fldChar w:fldCharType="end"/>
      </w:r>
    </w:p>
    <w:p>
      <w:pPr>
        <w:pStyle w:val="12"/>
        <w:tabs>
          <w:tab w:val="right" w:leader="dot" w:pos="9070"/>
        </w:tabs>
      </w:pPr>
      <w:r>
        <w:rPr>
          <w:color w:val="auto"/>
        </w:rPr>
        <w:fldChar w:fldCharType="begin"/>
      </w:r>
      <w:r>
        <w:instrText xml:space="preserve"> HYPERLINK \l _Toc4969 </w:instrText>
      </w:r>
      <w:r>
        <w:fldChar w:fldCharType="separate"/>
      </w:r>
      <w:r>
        <w:rPr>
          <w:rFonts w:hint="eastAsia" w:ascii="黑体" w:hAnsi="黑体" w:eastAsia="黑体"/>
          <w:bCs/>
          <w:i w:val="0"/>
          <w:szCs w:val="30"/>
          <w:lang w:val="en-US"/>
        </w:rPr>
        <w:t xml:space="preserve">第九条 </w:t>
      </w:r>
      <w:r>
        <w:tab/>
      </w:r>
      <w:r>
        <w:fldChar w:fldCharType="begin"/>
      </w:r>
      <w:r>
        <w:instrText xml:space="preserve"> PAGEREF _Toc4969 \h </w:instrText>
      </w:r>
      <w:r>
        <w:fldChar w:fldCharType="separate"/>
      </w:r>
      <w:r>
        <w:t>3</w:t>
      </w:r>
      <w:r>
        <w:fldChar w:fldCharType="end"/>
      </w:r>
      <w:r>
        <w:rPr>
          <w:color w:val="auto"/>
        </w:rPr>
        <w:fldChar w:fldCharType="end"/>
      </w:r>
    </w:p>
    <w:p>
      <w:pPr>
        <w:pStyle w:val="11"/>
        <w:tabs>
          <w:tab w:val="right" w:leader="dot" w:pos="9070"/>
        </w:tabs>
      </w:pPr>
      <w:r>
        <w:rPr>
          <w:color w:val="auto"/>
        </w:rPr>
        <w:fldChar w:fldCharType="begin"/>
      </w:r>
      <w:r>
        <w:instrText xml:space="preserve"> HYPERLINK \l _Toc9998 </w:instrText>
      </w:r>
      <w:r>
        <w:fldChar w:fldCharType="separate"/>
      </w:r>
      <w:r>
        <w:rPr>
          <w:rFonts w:hint="eastAsia"/>
          <w:bCs w:val="0"/>
        </w:rPr>
        <w:t>第二章</w:t>
      </w:r>
      <w:r>
        <w:rPr>
          <w:rFonts w:hint="eastAsia"/>
          <w:bCs w:val="0"/>
          <w:lang w:val="en-US" w:eastAsia="zh-CN"/>
        </w:rPr>
        <w:t xml:space="preserve"> </w:t>
      </w:r>
      <w:r>
        <w:rPr>
          <w:rFonts w:hint="eastAsia"/>
          <w:bCs w:val="0"/>
        </w:rPr>
        <w:t>保护名录</w:t>
      </w:r>
      <w:r>
        <w:tab/>
      </w:r>
      <w:r>
        <w:fldChar w:fldCharType="begin"/>
      </w:r>
      <w:r>
        <w:instrText xml:space="preserve"> PAGEREF _Toc9998 \h </w:instrText>
      </w:r>
      <w:r>
        <w:fldChar w:fldCharType="separate"/>
      </w:r>
      <w:r>
        <w:t>4</w:t>
      </w:r>
      <w:r>
        <w:fldChar w:fldCharType="end"/>
      </w:r>
      <w:r>
        <w:rPr>
          <w:color w:val="auto"/>
        </w:rPr>
        <w:fldChar w:fldCharType="end"/>
      </w:r>
    </w:p>
    <w:p>
      <w:pPr>
        <w:pStyle w:val="12"/>
        <w:tabs>
          <w:tab w:val="right" w:leader="dot" w:pos="9070"/>
        </w:tabs>
      </w:pPr>
      <w:r>
        <w:rPr>
          <w:color w:val="auto"/>
        </w:rPr>
        <w:fldChar w:fldCharType="begin"/>
      </w:r>
      <w:r>
        <w:instrText xml:space="preserve"> HYPERLINK \l _Toc24355 </w:instrText>
      </w:r>
      <w:r>
        <w:fldChar w:fldCharType="separate"/>
      </w:r>
      <w:r>
        <w:rPr>
          <w:rFonts w:hint="eastAsia" w:ascii="黑体" w:hAnsi="黑体" w:eastAsia="黑体"/>
          <w:bCs/>
          <w:i w:val="0"/>
          <w:szCs w:val="30"/>
          <w:lang w:val="en-US"/>
        </w:rPr>
        <w:t xml:space="preserve">第十条 </w:t>
      </w:r>
      <w:r>
        <w:tab/>
      </w:r>
      <w:r>
        <w:fldChar w:fldCharType="begin"/>
      </w:r>
      <w:r>
        <w:instrText xml:space="preserve"> PAGEREF _Toc24355 \h </w:instrText>
      </w:r>
      <w:r>
        <w:fldChar w:fldCharType="separate"/>
      </w:r>
      <w:r>
        <w:t>4</w:t>
      </w:r>
      <w:r>
        <w:fldChar w:fldCharType="end"/>
      </w:r>
      <w:r>
        <w:rPr>
          <w:color w:val="auto"/>
        </w:rPr>
        <w:fldChar w:fldCharType="end"/>
      </w:r>
    </w:p>
    <w:p>
      <w:pPr>
        <w:pStyle w:val="12"/>
        <w:tabs>
          <w:tab w:val="right" w:leader="dot" w:pos="9070"/>
        </w:tabs>
      </w:pPr>
      <w:r>
        <w:rPr>
          <w:color w:val="auto"/>
        </w:rPr>
        <w:fldChar w:fldCharType="begin"/>
      </w:r>
      <w:r>
        <w:instrText xml:space="preserve"> HYPERLINK \l _Toc25477 </w:instrText>
      </w:r>
      <w:r>
        <w:fldChar w:fldCharType="separate"/>
      </w:r>
      <w:r>
        <w:rPr>
          <w:rFonts w:hint="eastAsia" w:ascii="黑体" w:hAnsi="黑体" w:eastAsia="黑体"/>
          <w:i w:val="0"/>
          <w:lang w:val="en-US"/>
        </w:rPr>
        <w:t xml:space="preserve">第十一条 </w:t>
      </w:r>
      <w:r>
        <w:tab/>
      </w:r>
      <w:r>
        <w:fldChar w:fldCharType="begin"/>
      </w:r>
      <w:r>
        <w:instrText xml:space="preserve"> PAGEREF _Toc25477 \h </w:instrText>
      </w:r>
      <w:r>
        <w:fldChar w:fldCharType="separate"/>
      </w:r>
      <w:r>
        <w:t>4</w:t>
      </w:r>
      <w:r>
        <w:fldChar w:fldCharType="end"/>
      </w:r>
      <w:r>
        <w:rPr>
          <w:color w:val="auto"/>
        </w:rPr>
        <w:fldChar w:fldCharType="end"/>
      </w:r>
    </w:p>
    <w:p>
      <w:pPr>
        <w:pStyle w:val="12"/>
        <w:tabs>
          <w:tab w:val="right" w:leader="dot" w:pos="9070"/>
        </w:tabs>
      </w:pPr>
      <w:r>
        <w:rPr>
          <w:color w:val="auto"/>
        </w:rPr>
        <w:fldChar w:fldCharType="begin"/>
      </w:r>
      <w:r>
        <w:instrText xml:space="preserve"> HYPERLINK \l _Toc32625 </w:instrText>
      </w:r>
      <w:r>
        <w:fldChar w:fldCharType="separate"/>
      </w:r>
      <w:r>
        <w:rPr>
          <w:rFonts w:hint="eastAsia" w:ascii="黑体" w:hAnsi="黑体" w:eastAsia="黑体"/>
          <w:i w:val="0"/>
          <w:lang w:val="en-US"/>
        </w:rPr>
        <w:t xml:space="preserve">第十二条 </w:t>
      </w:r>
      <w:r>
        <w:tab/>
      </w:r>
      <w:r>
        <w:fldChar w:fldCharType="begin"/>
      </w:r>
      <w:r>
        <w:instrText xml:space="preserve"> PAGEREF _Toc32625 \h </w:instrText>
      </w:r>
      <w:r>
        <w:fldChar w:fldCharType="separate"/>
      </w:r>
      <w:r>
        <w:t>5</w:t>
      </w:r>
      <w:r>
        <w:fldChar w:fldCharType="end"/>
      </w:r>
      <w:r>
        <w:rPr>
          <w:color w:val="auto"/>
        </w:rPr>
        <w:fldChar w:fldCharType="end"/>
      </w:r>
    </w:p>
    <w:p>
      <w:pPr>
        <w:pStyle w:val="12"/>
        <w:tabs>
          <w:tab w:val="right" w:leader="dot" w:pos="9070"/>
        </w:tabs>
      </w:pPr>
      <w:r>
        <w:rPr>
          <w:color w:val="auto"/>
        </w:rPr>
        <w:fldChar w:fldCharType="begin"/>
      </w:r>
      <w:r>
        <w:instrText xml:space="preserve"> HYPERLINK \l _Toc25507 </w:instrText>
      </w:r>
      <w:r>
        <w:fldChar w:fldCharType="separate"/>
      </w:r>
      <w:r>
        <w:rPr>
          <w:rFonts w:hint="eastAsia" w:ascii="黑体" w:hAnsi="黑体" w:eastAsia="黑体"/>
          <w:i w:val="0"/>
          <w:lang w:val="en-US"/>
        </w:rPr>
        <w:t xml:space="preserve">第十三条 </w:t>
      </w:r>
      <w:r>
        <w:tab/>
      </w:r>
      <w:r>
        <w:fldChar w:fldCharType="begin"/>
      </w:r>
      <w:r>
        <w:instrText xml:space="preserve"> PAGEREF _Toc25507 \h </w:instrText>
      </w:r>
      <w:r>
        <w:fldChar w:fldCharType="separate"/>
      </w:r>
      <w:r>
        <w:t>5</w:t>
      </w:r>
      <w:r>
        <w:fldChar w:fldCharType="end"/>
      </w:r>
      <w:r>
        <w:rPr>
          <w:color w:val="auto"/>
        </w:rPr>
        <w:fldChar w:fldCharType="end"/>
      </w:r>
    </w:p>
    <w:p>
      <w:pPr>
        <w:pStyle w:val="11"/>
        <w:tabs>
          <w:tab w:val="right" w:leader="dot" w:pos="9070"/>
        </w:tabs>
      </w:pPr>
      <w:r>
        <w:rPr>
          <w:color w:val="auto"/>
        </w:rPr>
        <w:fldChar w:fldCharType="begin"/>
      </w:r>
      <w:r>
        <w:instrText xml:space="preserve"> HYPERLINK \l _Toc13722 </w:instrText>
      </w:r>
      <w:r>
        <w:fldChar w:fldCharType="separate"/>
      </w:r>
      <w:r>
        <w:rPr>
          <w:rFonts w:hint="eastAsia"/>
          <w:bCs w:val="0"/>
        </w:rPr>
        <w:t>第三章</w:t>
      </w:r>
      <w:r>
        <w:rPr>
          <w:rFonts w:hint="eastAsia" w:eastAsia="微软雅黑"/>
          <w:bCs w:val="0"/>
          <w:lang w:val="en-US" w:eastAsia="zh-CN"/>
        </w:rPr>
        <w:t xml:space="preserve"> </w:t>
      </w:r>
      <w:r>
        <w:rPr>
          <w:rFonts w:hint="eastAsia"/>
          <w:bCs w:val="0"/>
        </w:rPr>
        <w:t>保护规划</w:t>
      </w:r>
      <w:r>
        <w:tab/>
      </w:r>
      <w:r>
        <w:fldChar w:fldCharType="begin"/>
      </w:r>
      <w:r>
        <w:instrText xml:space="preserve"> PAGEREF _Toc13722 \h </w:instrText>
      </w:r>
      <w:r>
        <w:fldChar w:fldCharType="separate"/>
      </w:r>
      <w:r>
        <w:t>6</w:t>
      </w:r>
      <w:r>
        <w:fldChar w:fldCharType="end"/>
      </w:r>
      <w:r>
        <w:rPr>
          <w:color w:val="auto"/>
        </w:rPr>
        <w:fldChar w:fldCharType="end"/>
      </w:r>
    </w:p>
    <w:p>
      <w:pPr>
        <w:pStyle w:val="12"/>
        <w:tabs>
          <w:tab w:val="right" w:leader="dot" w:pos="9070"/>
        </w:tabs>
      </w:pPr>
      <w:r>
        <w:rPr>
          <w:color w:val="auto"/>
        </w:rPr>
        <w:fldChar w:fldCharType="begin"/>
      </w:r>
      <w:r>
        <w:instrText xml:space="preserve"> HYPERLINK \l _Toc4290 </w:instrText>
      </w:r>
      <w:r>
        <w:fldChar w:fldCharType="separate"/>
      </w:r>
      <w:r>
        <w:rPr>
          <w:rFonts w:hint="eastAsia" w:ascii="黑体" w:hAnsi="黑体" w:eastAsia="黑体"/>
          <w:i w:val="0"/>
          <w:lang w:val="en-US"/>
        </w:rPr>
        <w:t xml:space="preserve">第十四条 </w:t>
      </w:r>
      <w:r>
        <w:tab/>
      </w:r>
      <w:r>
        <w:fldChar w:fldCharType="begin"/>
      </w:r>
      <w:r>
        <w:instrText xml:space="preserve"> PAGEREF _Toc4290 \h </w:instrText>
      </w:r>
      <w:r>
        <w:fldChar w:fldCharType="separate"/>
      </w:r>
      <w:r>
        <w:t>6</w:t>
      </w:r>
      <w:r>
        <w:fldChar w:fldCharType="end"/>
      </w:r>
      <w:r>
        <w:rPr>
          <w:color w:val="auto"/>
        </w:rPr>
        <w:fldChar w:fldCharType="end"/>
      </w:r>
    </w:p>
    <w:p>
      <w:pPr>
        <w:pStyle w:val="12"/>
        <w:tabs>
          <w:tab w:val="right" w:leader="dot" w:pos="9070"/>
        </w:tabs>
      </w:pPr>
      <w:r>
        <w:rPr>
          <w:color w:val="auto"/>
        </w:rPr>
        <w:fldChar w:fldCharType="begin"/>
      </w:r>
      <w:r>
        <w:instrText xml:space="preserve"> HYPERLINK \l _Toc26128 </w:instrText>
      </w:r>
      <w:r>
        <w:fldChar w:fldCharType="separate"/>
      </w:r>
      <w:r>
        <w:rPr>
          <w:rFonts w:hint="eastAsia" w:eastAsia="黑体"/>
          <w:bCs/>
          <w:i w:val="0"/>
          <w:lang w:val="en-US"/>
        </w:rPr>
        <w:t xml:space="preserve">第十五条 </w:t>
      </w:r>
      <w:r>
        <w:tab/>
      </w:r>
      <w:r>
        <w:fldChar w:fldCharType="begin"/>
      </w:r>
      <w:r>
        <w:instrText xml:space="preserve"> PAGEREF _Toc26128 \h </w:instrText>
      </w:r>
      <w:r>
        <w:fldChar w:fldCharType="separate"/>
      </w:r>
      <w:r>
        <w:t>6</w:t>
      </w:r>
      <w:r>
        <w:fldChar w:fldCharType="end"/>
      </w:r>
      <w:r>
        <w:rPr>
          <w:color w:val="auto"/>
        </w:rPr>
        <w:fldChar w:fldCharType="end"/>
      </w:r>
    </w:p>
    <w:p>
      <w:pPr>
        <w:pStyle w:val="12"/>
        <w:tabs>
          <w:tab w:val="right" w:leader="dot" w:pos="9070"/>
        </w:tabs>
      </w:pPr>
      <w:r>
        <w:rPr>
          <w:color w:val="auto"/>
        </w:rPr>
        <w:fldChar w:fldCharType="begin"/>
      </w:r>
      <w:r>
        <w:instrText xml:space="preserve"> HYPERLINK \l _Toc25604 </w:instrText>
      </w:r>
      <w:r>
        <w:fldChar w:fldCharType="separate"/>
      </w:r>
      <w:r>
        <w:rPr>
          <w:rFonts w:hint="eastAsia" w:eastAsia="黑体"/>
          <w:bCs/>
          <w:i w:val="0"/>
          <w:lang w:val="en-US"/>
        </w:rPr>
        <w:t xml:space="preserve">第十六条 </w:t>
      </w:r>
      <w:r>
        <w:tab/>
      </w:r>
      <w:r>
        <w:fldChar w:fldCharType="begin"/>
      </w:r>
      <w:r>
        <w:instrText xml:space="preserve"> PAGEREF _Toc25604 \h </w:instrText>
      </w:r>
      <w:r>
        <w:fldChar w:fldCharType="separate"/>
      </w:r>
      <w:r>
        <w:t>6</w:t>
      </w:r>
      <w:r>
        <w:fldChar w:fldCharType="end"/>
      </w:r>
      <w:r>
        <w:rPr>
          <w:color w:val="auto"/>
        </w:rPr>
        <w:fldChar w:fldCharType="end"/>
      </w:r>
    </w:p>
    <w:p>
      <w:pPr>
        <w:pStyle w:val="12"/>
        <w:tabs>
          <w:tab w:val="right" w:leader="dot" w:pos="9070"/>
        </w:tabs>
      </w:pPr>
      <w:r>
        <w:rPr>
          <w:color w:val="auto"/>
        </w:rPr>
        <w:fldChar w:fldCharType="begin"/>
      </w:r>
      <w:r>
        <w:instrText xml:space="preserve"> HYPERLINK \l _Toc6661 </w:instrText>
      </w:r>
      <w:r>
        <w:fldChar w:fldCharType="separate"/>
      </w:r>
      <w:r>
        <w:rPr>
          <w:rFonts w:hint="eastAsia" w:eastAsia="黑体"/>
          <w:bCs/>
          <w:i w:val="0"/>
          <w:lang w:val="en-US"/>
        </w:rPr>
        <w:t xml:space="preserve">第十七条 </w:t>
      </w:r>
      <w:r>
        <w:tab/>
      </w:r>
      <w:r>
        <w:fldChar w:fldCharType="begin"/>
      </w:r>
      <w:r>
        <w:instrText xml:space="preserve"> PAGEREF _Toc6661 \h </w:instrText>
      </w:r>
      <w:r>
        <w:fldChar w:fldCharType="separate"/>
      </w:r>
      <w:r>
        <w:t>7</w:t>
      </w:r>
      <w:r>
        <w:fldChar w:fldCharType="end"/>
      </w:r>
      <w:r>
        <w:rPr>
          <w:color w:val="auto"/>
        </w:rPr>
        <w:fldChar w:fldCharType="end"/>
      </w:r>
    </w:p>
    <w:p>
      <w:pPr>
        <w:pStyle w:val="12"/>
        <w:tabs>
          <w:tab w:val="right" w:leader="dot" w:pos="9070"/>
        </w:tabs>
      </w:pPr>
      <w:r>
        <w:rPr>
          <w:color w:val="auto"/>
        </w:rPr>
        <w:fldChar w:fldCharType="begin"/>
      </w:r>
      <w:r>
        <w:instrText xml:space="preserve"> HYPERLINK \l _Toc11291 </w:instrText>
      </w:r>
      <w:r>
        <w:fldChar w:fldCharType="separate"/>
      </w:r>
      <w:r>
        <w:rPr>
          <w:rFonts w:hint="eastAsia" w:eastAsia="黑体"/>
          <w:i w:val="0"/>
          <w:lang w:val="en-US"/>
        </w:rPr>
        <w:t xml:space="preserve">第十八条 </w:t>
      </w:r>
      <w:r>
        <w:tab/>
      </w:r>
      <w:r>
        <w:fldChar w:fldCharType="begin"/>
      </w:r>
      <w:r>
        <w:instrText xml:space="preserve"> PAGEREF _Toc11291 \h </w:instrText>
      </w:r>
      <w:r>
        <w:fldChar w:fldCharType="separate"/>
      </w:r>
      <w:r>
        <w:t>7</w:t>
      </w:r>
      <w:r>
        <w:fldChar w:fldCharType="end"/>
      </w:r>
      <w:r>
        <w:rPr>
          <w:color w:val="auto"/>
        </w:rPr>
        <w:fldChar w:fldCharType="end"/>
      </w:r>
    </w:p>
    <w:p>
      <w:pPr>
        <w:pStyle w:val="12"/>
        <w:tabs>
          <w:tab w:val="right" w:leader="dot" w:pos="9070"/>
        </w:tabs>
      </w:pPr>
      <w:r>
        <w:rPr>
          <w:color w:val="auto"/>
        </w:rPr>
        <w:fldChar w:fldCharType="begin"/>
      </w:r>
      <w:r>
        <w:instrText xml:space="preserve"> HYPERLINK \l _Toc20095 </w:instrText>
      </w:r>
      <w:r>
        <w:fldChar w:fldCharType="separate"/>
      </w:r>
      <w:r>
        <w:rPr>
          <w:rFonts w:hint="eastAsia" w:eastAsia="黑体"/>
          <w:bCs/>
          <w:i w:val="0"/>
          <w:lang w:val="en-US"/>
        </w:rPr>
        <w:t xml:space="preserve">第十九条 </w:t>
      </w:r>
      <w:r>
        <w:tab/>
      </w:r>
      <w:r>
        <w:fldChar w:fldCharType="begin"/>
      </w:r>
      <w:r>
        <w:instrText xml:space="preserve"> PAGEREF _Toc20095 \h </w:instrText>
      </w:r>
      <w:r>
        <w:fldChar w:fldCharType="separate"/>
      </w:r>
      <w:r>
        <w:t>7</w:t>
      </w:r>
      <w:r>
        <w:fldChar w:fldCharType="end"/>
      </w:r>
      <w:r>
        <w:rPr>
          <w:color w:val="auto"/>
        </w:rPr>
        <w:fldChar w:fldCharType="end"/>
      </w:r>
    </w:p>
    <w:p>
      <w:pPr>
        <w:pStyle w:val="12"/>
        <w:tabs>
          <w:tab w:val="right" w:leader="dot" w:pos="9070"/>
        </w:tabs>
      </w:pPr>
      <w:r>
        <w:rPr>
          <w:color w:val="auto"/>
        </w:rPr>
        <w:fldChar w:fldCharType="begin"/>
      </w:r>
      <w:r>
        <w:instrText xml:space="preserve"> HYPERLINK \l _Toc16014 </w:instrText>
      </w:r>
      <w:r>
        <w:fldChar w:fldCharType="separate"/>
      </w:r>
      <w:r>
        <w:rPr>
          <w:rFonts w:hint="eastAsia" w:eastAsia="黑体"/>
          <w:bCs/>
          <w:i w:val="0"/>
          <w:lang w:val="en-US"/>
        </w:rPr>
        <w:t xml:space="preserve">第二十条 </w:t>
      </w:r>
      <w:r>
        <w:tab/>
      </w:r>
      <w:r>
        <w:fldChar w:fldCharType="begin"/>
      </w:r>
      <w:r>
        <w:instrText xml:space="preserve"> PAGEREF _Toc16014 \h </w:instrText>
      </w:r>
      <w:r>
        <w:fldChar w:fldCharType="separate"/>
      </w:r>
      <w:r>
        <w:t>7</w:t>
      </w:r>
      <w:r>
        <w:fldChar w:fldCharType="end"/>
      </w:r>
      <w:r>
        <w:rPr>
          <w:color w:val="auto"/>
        </w:rPr>
        <w:fldChar w:fldCharType="end"/>
      </w:r>
    </w:p>
    <w:p>
      <w:pPr>
        <w:pStyle w:val="11"/>
        <w:tabs>
          <w:tab w:val="right" w:leader="dot" w:pos="9070"/>
        </w:tabs>
      </w:pPr>
      <w:r>
        <w:rPr>
          <w:color w:val="auto"/>
        </w:rPr>
        <w:fldChar w:fldCharType="begin"/>
      </w:r>
      <w:r>
        <w:instrText xml:space="preserve"> HYPERLINK \l _Toc1309 </w:instrText>
      </w:r>
      <w:r>
        <w:fldChar w:fldCharType="separate"/>
      </w:r>
      <w:r>
        <w:rPr>
          <w:rFonts w:hint="eastAsia"/>
          <w:bCs w:val="0"/>
        </w:rPr>
        <w:t>第四章</w:t>
      </w:r>
      <w:r>
        <w:rPr>
          <w:rFonts w:hint="eastAsia"/>
          <w:bCs w:val="0"/>
          <w:lang w:val="en-US" w:eastAsia="zh-CN"/>
        </w:rPr>
        <w:t xml:space="preserve"> </w:t>
      </w:r>
      <w:r>
        <w:rPr>
          <w:rFonts w:hint="eastAsia"/>
          <w:bCs w:val="0"/>
        </w:rPr>
        <w:t>保护措施</w:t>
      </w:r>
      <w:r>
        <w:tab/>
      </w:r>
      <w:r>
        <w:fldChar w:fldCharType="begin"/>
      </w:r>
      <w:r>
        <w:instrText xml:space="preserve"> PAGEREF _Toc1309 \h </w:instrText>
      </w:r>
      <w:r>
        <w:fldChar w:fldCharType="separate"/>
      </w:r>
      <w:r>
        <w:t>8</w:t>
      </w:r>
      <w:r>
        <w:fldChar w:fldCharType="end"/>
      </w:r>
      <w:r>
        <w:rPr>
          <w:color w:val="auto"/>
        </w:rPr>
        <w:fldChar w:fldCharType="end"/>
      </w:r>
    </w:p>
    <w:p>
      <w:pPr>
        <w:pStyle w:val="12"/>
        <w:tabs>
          <w:tab w:val="right" w:leader="dot" w:pos="9070"/>
        </w:tabs>
      </w:pPr>
      <w:r>
        <w:rPr>
          <w:color w:val="auto"/>
        </w:rPr>
        <w:fldChar w:fldCharType="begin"/>
      </w:r>
      <w:r>
        <w:instrText xml:space="preserve"> HYPERLINK \l _Toc22512 </w:instrText>
      </w:r>
      <w:r>
        <w:fldChar w:fldCharType="separate"/>
      </w:r>
      <w:r>
        <w:rPr>
          <w:rFonts w:hint="eastAsia" w:ascii="黑体" w:hAnsi="黑体" w:eastAsia="黑体"/>
          <w:i w:val="0"/>
          <w:lang w:val="en-US"/>
        </w:rPr>
        <w:t xml:space="preserve">第二十一条 </w:t>
      </w:r>
      <w:r>
        <w:tab/>
      </w:r>
      <w:r>
        <w:fldChar w:fldCharType="begin"/>
      </w:r>
      <w:r>
        <w:instrText xml:space="preserve"> PAGEREF _Toc22512 \h </w:instrText>
      </w:r>
      <w:r>
        <w:fldChar w:fldCharType="separate"/>
      </w:r>
      <w:r>
        <w:t>8</w:t>
      </w:r>
      <w:r>
        <w:fldChar w:fldCharType="end"/>
      </w:r>
      <w:r>
        <w:rPr>
          <w:color w:val="auto"/>
        </w:rPr>
        <w:fldChar w:fldCharType="end"/>
      </w:r>
    </w:p>
    <w:p>
      <w:pPr>
        <w:pStyle w:val="12"/>
        <w:tabs>
          <w:tab w:val="right" w:leader="dot" w:pos="9070"/>
        </w:tabs>
      </w:pPr>
      <w:r>
        <w:rPr>
          <w:color w:val="auto"/>
        </w:rPr>
        <w:fldChar w:fldCharType="begin"/>
      </w:r>
      <w:r>
        <w:instrText xml:space="preserve"> HYPERLINK \l _Toc27625 </w:instrText>
      </w:r>
      <w:r>
        <w:fldChar w:fldCharType="separate"/>
      </w:r>
      <w:r>
        <w:rPr>
          <w:rFonts w:hint="eastAsia" w:eastAsia="黑体"/>
          <w:bCs/>
          <w:i w:val="0"/>
          <w:lang w:val="en-US"/>
        </w:rPr>
        <w:t xml:space="preserve">第二十二条 </w:t>
      </w:r>
      <w:r>
        <w:tab/>
      </w:r>
      <w:r>
        <w:fldChar w:fldCharType="begin"/>
      </w:r>
      <w:r>
        <w:instrText xml:space="preserve"> PAGEREF _Toc27625 \h </w:instrText>
      </w:r>
      <w:r>
        <w:fldChar w:fldCharType="separate"/>
      </w:r>
      <w:r>
        <w:t>8</w:t>
      </w:r>
      <w:r>
        <w:fldChar w:fldCharType="end"/>
      </w:r>
      <w:r>
        <w:rPr>
          <w:color w:val="auto"/>
        </w:rPr>
        <w:fldChar w:fldCharType="end"/>
      </w:r>
    </w:p>
    <w:p>
      <w:pPr>
        <w:pStyle w:val="12"/>
        <w:tabs>
          <w:tab w:val="right" w:leader="dot" w:pos="9070"/>
        </w:tabs>
      </w:pPr>
      <w:r>
        <w:rPr>
          <w:color w:val="auto"/>
        </w:rPr>
        <w:fldChar w:fldCharType="begin"/>
      </w:r>
      <w:r>
        <w:instrText xml:space="preserve"> HYPERLINK \l _Toc19158 </w:instrText>
      </w:r>
      <w:r>
        <w:fldChar w:fldCharType="separate"/>
      </w:r>
      <w:r>
        <w:rPr>
          <w:rFonts w:hint="eastAsia" w:eastAsia="黑体"/>
          <w:bCs/>
          <w:i w:val="0"/>
          <w:lang w:val="en-US"/>
        </w:rPr>
        <w:t xml:space="preserve">第二十三条 </w:t>
      </w:r>
      <w:r>
        <w:tab/>
      </w:r>
      <w:r>
        <w:fldChar w:fldCharType="begin"/>
      </w:r>
      <w:r>
        <w:instrText xml:space="preserve"> PAGEREF _Toc19158 \h </w:instrText>
      </w:r>
      <w:r>
        <w:fldChar w:fldCharType="separate"/>
      </w:r>
      <w:r>
        <w:t>9</w:t>
      </w:r>
      <w:r>
        <w:fldChar w:fldCharType="end"/>
      </w:r>
      <w:r>
        <w:rPr>
          <w:color w:val="auto"/>
        </w:rPr>
        <w:fldChar w:fldCharType="end"/>
      </w:r>
    </w:p>
    <w:p>
      <w:pPr>
        <w:pStyle w:val="12"/>
        <w:tabs>
          <w:tab w:val="right" w:leader="dot" w:pos="9070"/>
        </w:tabs>
      </w:pPr>
      <w:r>
        <w:rPr>
          <w:color w:val="auto"/>
        </w:rPr>
        <w:fldChar w:fldCharType="begin"/>
      </w:r>
      <w:r>
        <w:instrText xml:space="preserve"> HYPERLINK \l _Toc23795 </w:instrText>
      </w:r>
      <w:r>
        <w:fldChar w:fldCharType="separate"/>
      </w:r>
      <w:r>
        <w:rPr>
          <w:rFonts w:hint="eastAsia" w:eastAsia="黑体"/>
          <w:bCs/>
          <w:i w:val="0"/>
          <w:lang w:val="en-US"/>
        </w:rPr>
        <w:t xml:space="preserve">第二十四条 </w:t>
      </w:r>
      <w:r>
        <w:tab/>
      </w:r>
      <w:r>
        <w:fldChar w:fldCharType="begin"/>
      </w:r>
      <w:r>
        <w:instrText xml:space="preserve"> PAGEREF _Toc23795 \h </w:instrText>
      </w:r>
      <w:r>
        <w:fldChar w:fldCharType="separate"/>
      </w:r>
      <w:r>
        <w:t>9</w:t>
      </w:r>
      <w:r>
        <w:fldChar w:fldCharType="end"/>
      </w:r>
      <w:r>
        <w:rPr>
          <w:color w:val="auto"/>
        </w:rPr>
        <w:fldChar w:fldCharType="end"/>
      </w:r>
    </w:p>
    <w:p>
      <w:pPr>
        <w:pStyle w:val="12"/>
        <w:tabs>
          <w:tab w:val="right" w:leader="dot" w:pos="9070"/>
        </w:tabs>
      </w:pPr>
      <w:r>
        <w:rPr>
          <w:color w:val="auto"/>
        </w:rPr>
        <w:fldChar w:fldCharType="begin"/>
      </w:r>
      <w:r>
        <w:instrText xml:space="preserve"> HYPERLINK \l _Toc23454 </w:instrText>
      </w:r>
      <w:r>
        <w:fldChar w:fldCharType="separate"/>
      </w:r>
      <w:r>
        <w:rPr>
          <w:rFonts w:hint="eastAsia" w:eastAsia="黑体"/>
          <w:bCs/>
          <w:i w:val="0"/>
          <w:lang w:val="en-US"/>
        </w:rPr>
        <w:t xml:space="preserve">第二十五条 </w:t>
      </w:r>
      <w:r>
        <w:tab/>
      </w:r>
      <w:r>
        <w:fldChar w:fldCharType="begin"/>
      </w:r>
      <w:r>
        <w:instrText xml:space="preserve"> PAGEREF _Toc23454 \h </w:instrText>
      </w:r>
      <w:r>
        <w:fldChar w:fldCharType="separate"/>
      </w:r>
      <w:r>
        <w:t>10</w:t>
      </w:r>
      <w:r>
        <w:fldChar w:fldCharType="end"/>
      </w:r>
      <w:r>
        <w:rPr>
          <w:color w:val="auto"/>
        </w:rPr>
        <w:fldChar w:fldCharType="end"/>
      </w:r>
    </w:p>
    <w:p>
      <w:pPr>
        <w:pStyle w:val="12"/>
        <w:tabs>
          <w:tab w:val="right" w:leader="dot" w:pos="9070"/>
        </w:tabs>
      </w:pPr>
      <w:r>
        <w:rPr>
          <w:color w:val="auto"/>
        </w:rPr>
        <w:fldChar w:fldCharType="begin"/>
      </w:r>
      <w:r>
        <w:instrText xml:space="preserve"> HYPERLINK \l _Toc15239 </w:instrText>
      </w:r>
      <w:r>
        <w:fldChar w:fldCharType="separate"/>
      </w:r>
      <w:r>
        <w:rPr>
          <w:rFonts w:hint="eastAsia" w:eastAsia="黑体"/>
          <w:bCs/>
          <w:i w:val="0"/>
          <w:lang w:val="en-US"/>
        </w:rPr>
        <w:t xml:space="preserve">第二十六条 </w:t>
      </w:r>
      <w:r>
        <w:tab/>
      </w:r>
      <w:r>
        <w:fldChar w:fldCharType="begin"/>
      </w:r>
      <w:r>
        <w:instrText xml:space="preserve"> PAGEREF _Toc15239 \h </w:instrText>
      </w:r>
      <w:r>
        <w:fldChar w:fldCharType="separate"/>
      </w:r>
      <w:r>
        <w:t>10</w:t>
      </w:r>
      <w:r>
        <w:fldChar w:fldCharType="end"/>
      </w:r>
      <w:r>
        <w:rPr>
          <w:color w:val="auto"/>
        </w:rPr>
        <w:fldChar w:fldCharType="end"/>
      </w:r>
    </w:p>
    <w:p>
      <w:pPr>
        <w:pStyle w:val="12"/>
        <w:tabs>
          <w:tab w:val="right" w:leader="dot" w:pos="9070"/>
        </w:tabs>
      </w:pPr>
      <w:r>
        <w:rPr>
          <w:color w:val="auto"/>
        </w:rPr>
        <w:fldChar w:fldCharType="begin"/>
      </w:r>
      <w:r>
        <w:instrText xml:space="preserve"> HYPERLINK \l _Toc22334 </w:instrText>
      </w:r>
      <w:r>
        <w:fldChar w:fldCharType="separate"/>
      </w:r>
      <w:r>
        <w:rPr>
          <w:rFonts w:hint="eastAsia" w:ascii="黑体" w:hAnsi="黑体" w:eastAsia="黑体"/>
          <w:i w:val="0"/>
          <w:lang w:val="en-US"/>
        </w:rPr>
        <w:t xml:space="preserve">第二十七条 </w:t>
      </w:r>
      <w:r>
        <w:tab/>
      </w:r>
      <w:r>
        <w:fldChar w:fldCharType="begin"/>
      </w:r>
      <w:r>
        <w:instrText xml:space="preserve"> PAGEREF _Toc22334 \h </w:instrText>
      </w:r>
      <w:r>
        <w:fldChar w:fldCharType="separate"/>
      </w:r>
      <w:r>
        <w:t>10</w:t>
      </w:r>
      <w:r>
        <w:fldChar w:fldCharType="end"/>
      </w:r>
      <w:r>
        <w:rPr>
          <w:color w:val="auto"/>
        </w:rPr>
        <w:fldChar w:fldCharType="end"/>
      </w:r>
    </w:p>
    <w:p>
      <w:pPr>
        <w:pStyle w:val="11"/>
        <w:tabs>
          <w:tab w:val="right" w:leader="dot" w:pos="9070"/>
        </w:tabs>
      </w:pPr>
      <w:r>
        <w:rPr>
          <w:color w:val="auto"/>
        </w:rPr>
        <w:fldChar w:fldCharType="begin"/>
      </w:r>
      <w:r>
        <w:instrText xml:space="preserve"> HYPERLINK \l _Toc9268 </w:instrText>
      </w:r>
      <w:r>
        <w:fldChar w:fldCharType="separate"/>
      </w:r>
      <w:r>
        <w:rPr>
          <w:rFonts w:hint="eastAsia"/>
        </w:rPr>
        <w:t>第五章</w:t>
      </w:r>
      <w:r>
        <w:rPr>
          <w:rFonts w:hint="eastAsia"/>
          <w:lang w:val="en-US" w:eastAsia="zh-CN"/>
        </w:rPr>
        <w:t xml:space="preserve"> </w:t>
      </w:r>
      <w:r>
        <w:rPr>
          <w:rFonts w:hint="eastAsia"/>
        </w:rPr>
        <w:t>合理利用</w:t>
      </w:r>
      <w:r>
        <w:tab/>
      </w:r>
      <w:r>
        <w:fldChar w:fldCharType="begin"/>
      </w:r>
      <w:r>
        <w:instrText xml:space="preserve"> PAGEREF _Toc9268 \h </w:instrText>
      </w:r>
      <w:r>
        <w:fldChar w:fldCharType="separate"/>
      </w:r>
      <w:r>
        <w:t>11</w:t>
      </w:r>
      <w:r>
        <w:fldChar w:fldCharType="end"/>
      </w:r>
      <w:r>
        <w:rPr>
          <w:color w:val="auto"/>
        </w:rPr>
        <w:fldChar w:fldCharType="end"/>
      </w:r>
    </w:p>
    <w:p>
      <w:pPr>
        <w:pStyle w:val="12"/>
        <w:tabs>
          <w:tab w:val="right" w:leader="dot" w:pos="9070"/>
        </w:tabs>
      </w:pPr>
      <w:r>
        <w:rPr>
          <w:color w:val="auto"/>
        </w:rPr>
        <w:fldChar w:fldCharType="begin"/>
      </w:r>
      <w:r>
        <w:instrText xml:space="preserve"> HYPERLINK \l _Toc9649 </w:instrText>
      </w:r>
      <w:r>
        <w:fldChar w:fldCharType="separate"/>
      </w:r>
      <w:r>
        <w:rPr>
          <w:rFonts w:hint="eastAsia" w:eastAsia="黑体"/>
          <w:bCs/>
          <w:i w:val="0"/>
          <w:lang w:val="en-US"/>
        </w:rPr>
        <w:t xml:space="preserve">第二十八条 </w:t>
      </w:r>
      <w:r>
        <w:tab/>
      </w:r>
      <w:r>
        <w:fldChar w:fldCharType="begin"/>
      </w:r>
      <w:r>
        <w:instrText xml:space="preserve"> PAGEREF _Toc9649 \h </w:instrText>
      </w:r>
      <w:r>
        <w:fldChar w:fldCharType="separate"/>
      </w:r>
      <w:r>
        <w:t>11</w:t>
      </w:r>
      <w:r>
        <w:fldChar w:fldCharType="end"/>
      </w:r>
      <w:r>
        <w:rPr>
          <w:color w:val="auto"/>
        </w:rPr>
        <w:fldChar w:fldCharType="end"/>
      </w:r>
    </w:p>
    <w:p>
      <w:pPr>
        <w:pStyle w:val="12"/>
        <w:tabs>
          <w:tab w:val="right" w:leader="dot" w:pos="9070"/>
        </w:tabs>
      </w:pPr>
      <w:r>
        <w:rPr>
          <w:color w:val="auto"/>
        </w:rPr>
        <w:fldChar w:fldCharType="begin"/>
      </w:r>
      <w:r>
        <w:instrText xml:space="preserve"> HYPERLINK \l _Toc19978 </w:instrText>
      </w:r>
      <w:r>
        <w:fldChar w:fldCharType="separate"/>
      </w:r>
      <w:r>
        <w:rPr>
          <w:rFonts w:hint="eastAsia" w:ascii="黑体" w:hAnsi="黑体" w:eastAsia="黑体"/>
          <w:i w:val="0"/>
          <w:lang w:val="en-US"/>
        </w:rPr>
        <w:t xml:space="preserve">第二十九条 </w:t>
      </w:r>
      <w:r>
        <w:tab/>
      </w:r>
      <w:r>
        <w:fldChar w:fldCharType="begin"/>
      </w:r>
      <w:r>
        <w:instrText xml:space="preserve"> PAGEREF _Toc19978 \h </w:instrText>
      </w:r>
      <w:r>
        <w:fldChar w:fldCharType="separate"/>
      </w:r>
      <w:r>
        <w:t>11</w:t>
      </w:r>
      <w:r>
        <w:fldChar w:fldCharType="end"/>
      </w:r>
      <w:r>
        <w:rPr>
          <w:color w:val="auto"/>
        </w:rPr>
        <w:fldChar w:fldCharType="end"/>
      </w:r>
    </w:p>
    <w:p>
      <w:pPr>
        <w:pStyle w:val="12"/>
        <w:tabs>
          <w:tab w:val="right" w:leader="dot" w:pos="9070"/>
        </w:tabs>
      </w:pPr>
      <w:r>
        <w:rPr>
          <w:color w:val="auto"/>
        </w:rPr>
        <w:fldChar w:fldCharType="begin"/>
      </w:r>
      <w:r>
        <w:instrText xml:space="preserve"> HYPERLINK \l _Toc23750 </w:instrText>
      </w:r>
      <w:r>
        <w:fldChar w:fldCharType="separate"/>
      </w:r>
      <w:r>
        <w:rPr>
          <w:rFonts w:hint="eastAsia" w:eastAsia="黑体"/>
          <w:bCs/>
          <w:i w:val="0"/>
          <w:lang w:val="en-US"/>
        </w:rPr>
        <w:t xml:space="preserve">第三十条 </w:t>
      </w:r>
      <w:r>
        <w:tab/>
      </w:r>
      <w:r>
        <w:fldChar w:fldCharType="begin"/>
      </w:r>
      <w:r>
        <w:instrText xml:space="preserve"> PAGEREF _Toc23750 \h </w:instrText>
      </w:r>
      <w:r>
        <w:fldChar w:fldCharType="separate"/>
      </w:r>
      <w:r>
        <w:t>11</w:t>
      </w:r>
      <w:r>
        <w:fldChar w:fldCharType="end"/>
      </w:r>
      <w:r>
        <w:rPr>
          <w:color w:val="auto"/>
        </w:rPr>
        <w:fldChar w:fldCharType="end"/>
      </w:r>
    </w:p>
    <w:p>
      <w:pPr>
        <w:pStyle w:val="11"/>
        <w:tabs>
          <w:tab w:val="right" w:leader="dot" w:pos="9070"/>
        </w:tabs>
      </w:pPr>
      <w:r>
        <w:rPr>
          <w:color w:val="auto"/>
        </w:rPr>
        <w:fldChar w:fldCharType="begin"/>
      </w:r>
      <w:r>
        <w:instrText xml:space="preserve"> HYPERLINK \l _Toc11948 </w:instrText>
      </w:r>
      <w:r>
        <w:fldChar w:fldCharType="separate"/>
      </w:r>
      <w:r>
        <w:rPr>
          <w:rFonts w:hint="eastAsia"/>
          <w:bCs w:val="0"/>
        </w:rPr>
        <w:t xml:space="preserve">第六章 </w:t>
      </w:r>
      <w:r>
        <w:rPr>
          <w:bCs w:val="0"/>
        </w:rPr>
        <w:t>法律</w:t>
      </w:r>
      <w:r>
        <w:rPr>
          <w:rFonts w:hint="eastAsia"/>
          <w:bCs w:val="0"/>
        </w:rPr>
        <w:t>责任</w:t>
      </w:r>
      <w:r>
        <w:tab/>
      </w:r>
      <w:r>
        <w:fldChar w:fldCharType="begin"/>
      </w:r>
      <w:r>
        <w:instrText xml:space="preserve"> PAGEREF _Toc11948 \h </w:instrText>
      </w:r>
      <w:r>
        <w:fldChar w:fldCharType="separate"/>
      </w:r>
      <w:r>
        <w:t>12</w:t>
      </w:r>
      <w:r>
        <w:fldChar w:fldCharType="end"/>
      </w:r>
      <w:r>
        <w:rPr>
          <w:color w:val="auto"/>
        </w:rPr>
        <w:fldChar w:fldCharType="end"/>
      </w:r>
    </w:p>
    <w:p>
      <w:pPr>
        <w:pStyle w:val="12"/>
        <w:tabs>
          <w:tab w:val="right" w:leader="dot" w:pos="9070"/>
        </w:tabs>
      </w:pPr>
      <w:r>
        <w:rPr>
          <w:color w:val="auto"/>
        </w:rPr>
        <w:fldChar w:fldCharType="begin"/>
      </w:r>
      <w:r>
        <w:instrText xml:space="preserve"> HYPERLINK \l _Toc15957 </w:instrText>
      </w:r>
      <w:r>
        <w:fldChar w:fldCharType="separate"/>
      </w:r>
      <w:r>
        <w:rPr>
          <w:rFonts w:hint="eastAsia" w:ascii="黑体" w:hAnsi="黑体" w:eastAsia="黑体"/>
          <w:i w:val="0"/>
          <w:lang w:val="en-US"/>
        </w:rPr>
        <w:t xml:space="preserve">第三十一条 </w:t>
      </w:r>
      <w:r>
        <w:tab/>
      </w:r>
      <w:r>
        <w:fldChar w:fldCharType="begin"/>
      </w:r>
      <w:r>
        <w:instrText xml:space="preserve"> PAGEREF _Toc15957 \h </w:instrText>
      </w:r>
      <w:r>
        <w:fldChar w:fldCharType="separate"/>
      </w:r>
      <w:r>
        <w:t>12</w:t>
      </w:r>
      <w:r>
        <w:fldChar w:fldCharType="end"/>
      </w:r>
      <w:r>
        <w:rPr>
          <w:color w:val="auto"/>
        </w:rPr>
        <w:fldChar w:fldCharType="end"/>
      </w:r>
    </w:p>
    <w:p>
      <w:pPr>
        <w:pStyle w:val="12"/>
        <w:tabs>
          <w:tab w:val="right" w:leader="dot" w:pos="9070"/>
        </w:tabs>
      </w:pPr>
      <w:r>
        <w:rPr>
          <w:color w:val="auto"/>
        </w:rPr>
        <w:fldChar w:fldCharType="begin"/>
      </w:r>
      <w:r>
        <w:instrText xml:space="preserve"> HYPERLINK \l _Toc16441 </w:instrText>
      </w:r>
      <w:r>
        <w:fldChar w:fldCharType="separate"/>
      </w:r>
      <w:r>
        <w:rPr>
          <w:rFonts w:hint="eastAsia" w:eastAsia="黑体"/>
          <w:bCs/>
          <w:i w:val="0"/>
          <w:lang w:val="en-US"/>
        </w:rPr>
        <w:t xml:space="preserve">第三十二条 </w:t>
      </w:r>
      <w:r>
        <w:tab/>
      </w:r>
      <w:r>
        <w:fldChar w:fldCharType="begin"/>
      </w:r>
      <w:r>
        <w:instrText xml:space="preserve"> PAGEREF _Toc16441 \h </w:instrText>
      </w:r>
      <w:r>
        <w:fldChar w:fldCharType="separate"/>
      </w:r>
      <w:r>
        <w:t>12</w:t>
      </w:r>
      <w:r>
        <w:fldChar w:fldCharType="end"/>
      </w:r>
      <w:r>
        <w:rPr>
          <w:color w:val="auto"/>
        </w:rPr>
        <w:fldChar w:fldCharType="end"/>
      </w:r>
    </w:p>
    <w:p>
      <w:pPr>
        <w:pStyle w:val="11"/>
        <w:tabs>
          <w:tab w:val="right" w:leader="dot" w:pos="9070"/>
        </w:tabs>
      </w:pPr>
      <w:r>
        <w:rPr>
          <w:color w:val="auto"/>
        </w:rPr>
        <w:fldChar w:fldCharType="begin"/>
      </w:r>
      <w:r>
        <w:instrText xml:space="preserve"> HYPERLINK \l _Toc9509 </w:instrText>
      </w:r>
      <w:r>
        <w:fldChar w:fldCharType="separate"/>
      </w:r>
      <w:r>
        <w:t>第</w:t>
      </w:r>
      <w:r>
        <w:rPr>
          <w:rFonts w:hint="eastAsia"/>
        </w:rPr>
        <w:t>七</w:t>
      </w:r>
      <w:r>
        <w:t>章</w:t>
      </w:r>
      <w:r>
        <w:rPr>
          <w:rFonts w:hint="eastAsia"/>
          <w:lang w:val="en-US" w:eastAsia="zh-CN"/>
        </w:rPr>
        <w:t xml:space="preserve"> </w:t>
      </w:r>
      <w:r>
        <w:t>附则</w:t>
      </w:r>
      <w:r>
        <w:tab/>
      </w:r>
      <w:r>
        <w:fldChar w:fldCharType="begin"/>
      </w:r>
      <w:r>
        <w:instrText xml:space="preserve"> PAGEREF _Toc9509 \h </w:instrText>
      </w:r>
      <w:r>
        <w:fldChar w:fldCharType="separate"/>
      </w:r>
      <w:r>
        <w:t>13</w:t>
      </w:r>
      <w:r>
        <w:fldChar w:fldCharType="end"/>
      </w:r>
      <w:r>
        <w:rPr>
          <w:color w:val="auto"/>
        </w:rPr>
        <w:fldChar w:fldCharType="end"/>
      </w:r>
    </w:p>
    <w:p>
      <w:pPr>
        <w:pStyle w:val="12"/>
        <w:tabs>
          <w:tab w:val="right" w:leader="dot" w:pos="9070"/>
        </w:tabs>
      </w:pPr>
      <w:r>
        <w:rPr>
          <w:color w:val="auto"/>
        </w:rPr>
        <w:fldChar w:fldCharType="begin"/>
      </w:r>
      <w:r>
        <w:instrText xml:space="preserve"> HYPERLINK \l _Toc32522 </w:instrText>
      </w:r>
      <w:r>
        <w:fldChar w:fldCharType="separate"/>
      </w:r>
      <w:r>
        <w:rPr>
          <w:rFonts w:hint="eastAsia" w:eastAsia="黑体"/>
          <w:bCs/>
          <w:i w:val="0"/>
          <w:lang w:val="en-US"/>
        </w:rPr>
        <w:t xml:space="preserve">第三十三条 </w:t>
      </w:r>
      <w:r>
        <w:tab/>
      </w:r>
      <w:r>
        <w:fldChar w:fldCharType="begin"/>
      </w:r>
      <w:r>
        <w:instrText xml:space="preserve"> PAGEREF _Toc32522 \h </w:instrText>
      </w:r>
      <w:r>
        <w:fldChar w:fldCharType="separate"/>
      </w:r>
      <w:r>
        <w:t>13</w:t>
      </w:r>
      <w:r>
        <w:fldChar w:fldCharType="end"/>
      </w:r>
      <w:r>
        <w:rPr>
          <w:color w:val="auto"/>
        </w:rPr>
        <w:fldChar w:fldCharType="end"/>
      </w:r>
    </w:p>
    <w:p>
      <w:pPr>
        <w:pStyle w:val="12"/>
        <w:tabs>
          <w:tab w:val="right" w:leader="dot" w:pos="9070"/>
        </w:tabs>
      </w:pPr>
      <w:r>
        <w:rPr>
          <w:color w:val="auto"/>
        </w:rPr>
        <w:fldChar w:fldCharType="begin"/>
      </w:r>
      <w:r>
        <w:instrText xml:space="preserve"> HYPERLINK \l _Toc15886 </w:instrText>
      </w:r>
      <w:r>
        <w:fldChar w:fldCharType="separate"/>
      </w:r>
      <w:r>
        <w:rPr>
          <w:rFonts w:hint="eastAsia" w:eastAsia="黑体"/>
          <w:bCs/>
          <w:i w:val="0"/>
          <w:lang w:val="en-US"/>
        </w:rPr>
        <w:t xml:space="preserve">第三十四条 </w:t>
      </w:r>
      <w:r>
        <w:tab/>
      </w:r>
      <w:r>
        <w:fldChar w:fldCharType="begin"/>
      </w:r>
      <w:r>
        <w:instrText xml:space="preserve"> PAGEREF _Toc15886 \h </w:instrText>
      </w:r>
      <w:r>
        <w:fldChar w:fldCharType="separate"/>
      </w:r>
      <w:r>
        <w:t>13</w:t>
      </w:r>
      <w:r>
        <w:fldChar w:fldCharType="end"/>
      </w:r>
      <w:r>
        <w:rPr>
          <w:color w:val="auto"/>
        </w:rPr>
        <w:fldChar w:fldCharType="end"/>
      </w:r>
    </w:p>
    <w:p>
      <w:pPr>
        <w:tabs>
          <w:tab w:val="left" w:pos="1122"/>
        </w:tabs>
        <w:ind w:firstLine="560"/>
        <w:rPr>
          <w:color w:val="auto"/>
        </w:rPr>
      </w:pPr>
      <w:r>
        <w:rPr>
          <w:color w:val="auto"/>
        </w:rPr>
        <w:fldChar w:fldCharType="end"/>
      </w:r>
      <w:r>
        <w:rPr>
          <w:color w:val="auto"/>
        </w:rPr>
        <w:tab/>
      </w:r>
    </w:p>
    <w:p>
      <w:pPr>
        <w:tabs>
          <w:tab w:val="left" w:pos="1122"/>
        </w:tabs>
        <w:ind w:firstLine="560"/>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531" w:right="1418" w:bottom="1531" w:left="1418" w:header="851" w:footer="992" w:gutter="0"/>
          <w:cols w:space="720" w:num="1"/>
          <w:docGrid w:type="lines" w:linePitch="430" w:charSpace="0"/>
        </w:sectPr>
      </w:pPr>
    </w:p>
    <w:p>
      <w:pPr>
        <w:pStyle w:val="2"/>
        <w:rPr>
          <w:color w:val="auto"/>
        </w:rPr>
      </w:pPr>
      <w:bookmarkStart w:id="0" w:name="_Toc1870"/>
      <w:bookmarkStart w:id="1" w:name="_Toc24331"/>
      <w:bookmarkStart w:id="2" w:name="_Toc13928"/>
      <w:bookmarkStart w:id="3" w:name="_Toc2196"/>
      <w:bookmarkStart w:id="4" w:name="_Toc8798"/>
      <w:bookmarkStart w:id="5" w:name="_Toc11421"/>
      <w:bookmarkStart w:id="6" w:name="_Toc27175"/>
      <w:bookmarkStart w:id="7" w:name="_Toc24055"/>
      <w:bookmarkStart w:id="8" w:name="_Toc4112"/>
      <w:bookmarkStart w:id="9" w:name="_Toc13837"/>
      <w:bookmarkStart w:id="10" w:name="_Toc9294"/>
      <w:bookmarkStart w:id="11" w:name="_Toc12348"/>
      <w:bookmarkStart w:id="12" w:name="_Toc12895"/>
      <w:bookmarkStart w:id="13" w:name="_Toc1966"/>
      <w:bookmarkStart w:id="14" w:name="_Toc29314"/>
      <w:bookmarkStart w:id="15" w:name="_Toc30806"/>
      <w:bookmarkStart w:id="16" w:name="_Toc11556"/>
      <w:bookmarkStart w:id="17" w:name="_Toc22317"/>
      <w:bookmarkStart w:id="18" w:name="_Toc6141"/>
      <w:bookmarkStart w:id="19" w:name="_Toc5444"/>
      <w:bookmarkStart w:id="20" w:name="_Toc21631"/>
      <w:bookmarkStart w:id="21" w:name="_Toc11426"/>
      <w:bookmarkStart w:id="22" w:name="_Toc19450"/>
      <w:bookmarkStart w:id="23" w:name="_Toc22697"/>
      <w:bookmarkStart w:id="24" w:name="_Toc41"/>
      <w:bookmarkStart w:id="25" w:name="_Toc31371"/>
      <w:bookmarkStart w:id="26" w:name="_Toc22736"/>
      <w:bookmarkStart w:id="27" w:name="_Toc16354"/>
      <w:bookmarkStart w:id="28" w:name="_Toc17680"/>
      <w:bookmarkStart w:id="29" w:name="_Toc23355"/>
      <w:bookmarkStart w:id="30" w:name="_Toc24743"/>
      <w:bookmarkStart w:id="31" w:name="_Toc28351"/>
      <w:bookmarkStart w:id="32" w:name="_Toc5711"/>
      <w:bookmarkStart w:id="33" w:name="_Toc16093"/>
      <w:bookmarkStart w:id="34" w:name="_Toc11474"/>
      <w:bookmarkStart w:id="35" w:name="_Toc17056"/>
      <w:bookmarkStart w:id="36" w:name="_Toc3098"/>
      <w:bookmarkStart w:id="37" w:name="_Toc27901"/>
      <w:bookmarkStart w:id="38" w:name="_Toc30337"/>
      <w:bookmarkStart w:id="39" w:name="_Toc26297"/>
      <w:bookmarkStart w:id="40" w:name="_Toc31063"/>
      <w:r>
        <w:rPr>
          <w:color w:val="auto"/>
        </w:rPr>
        <w:t>第一章</w:t>
      </w:r>
      <w:r>
        <w:rPr>
          <w:rFonts w:hint="eastAsia"/>
          <w:color w:val="auto"/>
          <w:lang w:val="en-US" w:eastAsia="zh-CN"/>
        </w:rPr>
        <w:t xml:space="preserve"> </w:t>
      </w:r>
      <w:r>
        <w:rPr>
          <w:color w:val="auto"/>
        </w:rPr>
        <w:t>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color w:val="auto"/>
          <w:sz w:val="30"/>
          <w:szCs w:val="30"/>
        </w:rPr>
      </w:pPr>
      <w:bookmarkStart w:id="41" w:name="_Toc947"/>
      <w:bookmarkEnd w:id="41"/>
    </w:p>
    <w:p>
      <w:pPr>
        <w:ind w:firstLine="560"/>
        <w:rPr>
          <w:color w:val="auto"/>
        </w:rPr>
      </w:pPr>
      <w:r>
        <w:rPr>
          <w:rFonts w:hint="eastAsia"/>
          <w:color w:val="auto"/>
        </w:rPr>
        <w:t>为</w:t>
      </w:r>
      <w:r>
        <w:rPr>
          <w:rFonts w:hint="eastAsia"/>
          <w:color w:val="auto"/>
          <w:lang w:val="en-US" w:eastAsia="zh-CN"/>
        </w:rPr>
        <w:t>了</w:t>
      </w:r>
      <w:r>
        <w:rPr>
          <w:rFonts w:hint="eastAsia"/>
          <w:color w:val="auto"/>
        </w:rPr>
        <w:t>加强韶关历史文化名城的保护与管理，继承和弘扬优秀历史文化遗产，促进城乡建设与社会文化协调发展，根据《中华人民共和国城乡规划法》《中华人民共和国文物保护法》《历史文化名城名镇名村保护条例》和《广东省城乡规划条例》等法律、法规的规定，结合本市实际，制定本办法。</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42" w:name="_Toc14394"/>
      <w:bookmarkEnd w:id="42"/>
      <w:bookmarkStart w:id="43" w:name="_Toc27012"/>
    </w:p>
    <w:bookmarkEnd w:id="43"/>
    <w:p>
      <w:pPr>
        <w:ind w:firstLine="560"/>
        <w:rPr>
          <w:color w:val="auto"/>
        </w:rPr>
      </w:pPr>
      <w:r>
        <w:rPr>
          <w:rFonts w:hint="eastAsia"/>
          <w:color w:val="auto"/>
        </w:rPr>
        <w:t>本市行政区域范围内的历史文化名城的规划、保护、利用和管理等活动，适用本办法。</w:t>
      </w:r>
    </w:p>
    <w:p>
      <w:pPr>
        <w:ind w:firstLine="560"/>
        <w:rPr>
          <w:color w:val="auto"/>
        </w:rPr>
      </w:pPr>
      <w:r>
        <w:rPr>
          <w:rFonts w:hint="eastAsia"/>
          <w:color w:val="auto"/>
        </w:rPr>
        <w:t>历史文化名城的保护对象包括历史城区、历史文化街区、名镇、名村和传统村落、历史地段、不可移动文物、历史建筑，与工业遗产、农业文化遗产、灌溉工程遗产、非物质文化遗产、地名文化遗产、革命遗址、古驿道、古树名木、世界自然遗产等保护传承共同构成的有机整体。</w:t>
      </w:r>
    </w:p>
    <w:p>
      <w:pPr>
        <w:ind w:firstLine="560"/>
        <w:rPr>
          <w:color w:val="auto"/>
        </w:rPr>
      </w:pPr>
      <w:r>
        <w:rPr>
          <w:rFonts w:hint="eastAsia"/>
          <w:color w:val="auto"/>
        </w:rPr>
        <w:t>历史文化名城中涉及不可移动文物、古树名木、历史建筑、世界自然遗产和非物质文化遗产等的保护，有关法律、法规等另有规定的，从其规定。</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44" w:name="_Toc17667"/>
      <w:bookmarkEnd w:id="44"/>
      <w:bookmarkStart w:id="45" w:name="_Toc6479"/>
    </w:p>
    <w:bookmarkEnd w:id="45"/>
    <w:p>
      <w:pPr>
        <w:ind w:firstLine="560"/>
        <w:rPr>
          <w:color w:val="auto"/>
        </w:rPr>
      </w:pPr>
      <w:r>
        <w:rPr>
          <w:rFonts w:hint="eastAsia"/>
          <w:color w:val="auto"/>
        </w:rPr>
        <w:t>历史文化名城的保护应当遵循科学规划、严格保护、合理利用、传承发展、有效监管的原则，以历史文化价值为导向，保护历史文化遗产的真实性和完整性，保护与其相互依存的自然和人文景观，保持和延续历史文化名城的传统格局和历史风貌，以人民为中心，正确处理历史文化名城保护与经济社会发展的关系，促进优秀历史文化和现代生活的融合，保留人民群众对韶关历史文化的记忆和情感。</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46" w:name="_Toc10044"/>
      <w:bookmarkEnd w:id="46"/>
      <w:bookmarkStart w:id="47" w:name="_Toc26682"/>
    </w:p>
    <w:bookmarkEnd w:id="47"/>
    <w:p>
      <w:pPr>
        <w:ind w:firstLine="560"/>
        <w:rPr>
          <w:color w:val="auto"/>
        </w:rPr>
      </w:pPr>
      <w:bookmarkStart w:id="48" w:name="_Hlk41921739"/>
      <w:r>
        <w:rPr>
          <w:rFonts w:hint="eastAsia"/>
          <w:color w:val="auto"/>
        </w:rPr>
        <w:t>市人民政府负责历史文化名城保护和监督管理工作。</w:t>
      </w:r>
    </w:p>
    <w:p>
      <w:pPr>
        <w:ind w:firstLine="560"/>
        <w:rPr>
          <w:color w:val="auto"/>
          <w:lang w:val="en"/>
        </w:rPr>
      </w:pPr>
      <w:r>
        <w:rPr>
          <w:rFonts w:hint="eastAsia"/>
          <w:color w:val="auto"/>
        </w:rPr>
        <w:t>县（市、区）人民政府负责本行政区域内的历史文化名城保护和监督管理工作，制定历史文化名城保护方案并组织实施。</w:t>
      </w:r>
    </w:p>
    <w:p>
      <w:pPr>
        <w:ind w:firstLine="560"/>
        <w:rPr>
          <w:color w:val="auto"/>
        </w:rPr>
      </w:pPr>
      <w:r>
        <w:rPr>
          <w:rFonts w:hint="eastAsia"/>
          <w:color w:val="auto"/>
        </w:rPr>
        <w:t>乡镇人民政府、街道办事处负责本辖区内历史文化名城保护的日常保</w:t>
      </w:r>
      <w:r>
        <w:rPr>
          <w:color w:val="auto"/>
        </w:rPr>
        <w:t>护管理和现场保护等具体工作。</w:t>
      </w:r>
    </w:p>
    <w:p>
      <w:pPr>
        <w:ind w:firstLine="560"/>
        <w:rPr>
          <w:color w:val="auto"/>
        </w:rPr>
      </w:pPr>
      <w:r>
        <w:rPr>
          <w:rFonts w:hint="eastAsia"/>
          <w:color w:val="auto"/>
        </w:rPr>
        <w:t>村（居）民委员会应当配合做好本辖区历史文化名城保护工作</w:t>
      </w:r>
      <w:r>
        <w:rPr>
          <w:color w:val="auto"/>
        </w:rPr>
        <w:t>。</w:t>
      </w:r>
    </w:p>
    <w:bookmarkEnd w:id="48"/>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49" w:name="_Toc4035"/>
      <w:bookmarkEnd w:id="49"/>
      <w:bookmarkStart w:id="50" w:name="_Toc12291"/>
    </w:p>
    <w:bookmarkEnd w:id="50"/>
    <w:p>
      <w:pPr>
        <w:ind w:firstLine="560"/>
        <w:rPr>
          <w:color w:val="auto"/>
        </w:rPr>
      </w:pPr>
      <w:r>
        <w:rPr>
          <w:rFonts w:hint="eastAsia"/>
          <w:color w:val="auto"/>
          <w:lang w:eastAsia="zh-CN"/>
        </w:rPr>
        <w:t>市住房和城乡建设主管部门</w:t>
      </w:r>
      <w:r>
        <w:rPr>
          <w:rFonts w:hint="eastAsia"/>
          <w:color w:val="auto"/>
        </w:rPr>
        <w:t>统筹协调本市历史文化名城保护与管理工作。</w:t>
      </w:r>
    </w:p>
    <w:p>
      <w:pPr>
        <w:ind w:firstLine="560"/>
        <w:rPr>
          <w:color w:val="auto"/>
        </w:rPr>
      </w:pPr>
      <w:r>
        <w:rPr>
          <w:rFonts w:hint="eastAsia"/>
          <w:color w:val="auto"/>
        </w:rPr>
        <w:t>县（市、区）</w:t>
      </w:r>
      <w:r>
        <w:rPr>
          <w:rFonts w:hint="eastAsia"/>
          <w:color w:val="auto"/>
          <w:lang w:eastAsia="zh-CN"/>
        </w:rPr>
        <w:t>住房和城乡建设</w:t>
      </w:r>
      <w:r>
        <w:rPr>
          <w:rFonts w:hint="eastAsia"/>
          <w:color w:val="auto"/>
        </w:rPr>
        <w:t>主管部门是本行政区域内历史文化名城、街区、名镇、名村、传统村落、历史地段、历史建筑保护的主管部门，负责历史文化名城的保护与管理的具体工作。</w:t>
      </w:r>
    </w:p>
    <w:p>
      <w:pPr>
        <w:ind w:firstLine="560"/>
        <w:rPr>
          <w:color w:val="auto"/>
        </w:rPr>
      </w:pPr>
      <w:r>
        <w:rPr>
          <w:rFonts w:hint="eastAsia"/>
          <w:color w:val="auto"/>
        </w:rPr>
        <w:t>县（市、区）自然资源主管部门按照职责对本行政区域内历史文化名城建设项目进行规划审批、监督和管理</w:t>
      </w:r>
      <w:r>
        <w:rPr>
          <w:rFonts w:hint="eastAsia"/>
          <w:color w:val="auto"/>
          <w:lang w:eastAsia="zh-CN"/>
        </w:rPr>
        <w:t>，</w:t>
      </w:r>
      <w:r>
        <w:rPr>
          <w:rFonts w:hint="eastAsia"/>
          <w:color w:val="auto"/>
          <w:lang w:val="en-US" w:eastAsia="zh-CN"/>
        </w:rPr>
        <w:t>以及负责本行政区域内古驿道的保护管理工作</w:t>
      </w:r>
      <w:r>
        <w:rPr>
          <w:rFonts w:hint="eastAsia"/>
          <w:color w:val="auto"/>
        </w:rPr>
        <w:t>。</w:t>
      </w:r>
    </w:p>
    <w:p>
      <w:pPr>
        <w:ind w:firstLine="560"/>
        <w:rPr>
          <w:color w:val="auto"/>
        </w:rPr>
      </w:pPr>
      <w:r>
        <w:rPr>
          <w:rFonts w:hint="eastAsia"/>
          <w:color w:val="auto"/>
        </w:rPr>
        <w:t>县（市、区）文物主管部门负责本行政区域内革命史迹的保护管理以及其他法律、法规规定的有关历史文化名城保护工作。</w:t>
      </w:r>
    </w:p>
    <w:p>
      <w:pPr>
        <w:ind w:firstLine="560"/>
        <w:rPr>
          <w:color w:val="auto"/>
        </w:rPr>
      </w:pPr>
      <w:r>
        <w:rPr>
          <w:rFonts w:hint="eastAsia"/>
          <w:color w:val="auto"/>
        </w:rPr>
        <w:t>县（市、区）工业和信息化主管部门负责本行政区域内工业遗产的保护工作。</w:t>
      </w:r>
    </w:p>
    <w:p>
      <w:pPr>
        <w:ind w:firstLine="560"/>
        <w:rPr>
          <w:color w:val="auto"/>
        </w:rPr>
      </w:pPr>
      <w:r>
        <w:rPr>
          <w:rFonts w:hint="eastAsia"/>
          <w:color w:val="auto"/>
        </w:rPr>
        <w:t>县（市、区）农业农村主管部门负责本行政区域内农业文化遗产的保护工作。</w:t>
      </w:r>
    </w:p>
    <w:p>
      <w:pPr>
        <w:ind w:firstLine="560"/>
        <w:rPr>
          <w:color w:val="auto"/>
        </w:rPr>
      </w:pPr>
      <w:r>
        <w:rPr>
          <w:rFonts w:hint="eastAsia"/>
          <w:color w:val="auto"/>
        </w:rPr>
        <w:t>县（市、区）水务主管部门负责本行政区域内灌溉工程遗产的保护工作。</w:t>
      </w:r>
    </w:p>
    <w:p>
      <w:pPr>
        <w:ind w:firstLine="560"/>
        <w:rPr>
          <w:rFonts w:hint="eastAsia"/>
          <w:color w:val="auto"/>
        </w:rPr>
      </w:pPr>
      <w:r>
        <w:rPr>
          <w:rFonts w:hint="eastAsia"/>
          <w:color w:val="auto"/>
        </w:rPr>
        <w:t>县（市、区）民政主管部门负责本行政区域内地名文化遗产的保护工作。</w:t>
      </w:r>
    </w:p>
    <w:p>
      <w:pPr>
        <w:ind w:firstLine="560"/>
        <w:rPr>
          <w:rFonts w:hint="eastAsia" w:ascii="Times New Roman" w:eastAsia="仿宋_GB2312" w:cs="Times New Roman"/>
          <w:color w:val="auto"/>
          <w:kern w:val="2"/>
          <w:sz w:val="28"/>
          <w:lang w:val="en-US" w:eastAsia="zh-CN"/>
        </w:rPr>
      </w:pPr>
      <w:r>
        <w:rPr>
          <w:rFonts w:hint="eastAsia"/>
          <w:color w:val="auto"/>
        </w:rPr>
        <w:t>县（市、区）</w:t>
      </w:r>
      <w:r>
        <w:rPr>
          <w:rFonts w:hint="eastAsia" w:ascii="Times New Roman" w:eastAsia="仿宋_GB2312" w:cs="Times New Roman"/>
          <w:color w:val="auto"/>
          <w:kern w:val="2"/>
          <w:sz w:val="28"/>
          <w:lang w:val="en-US" w:eastAsia="zh-CN"/>
        </w:rPr>
        <w:t>林业</w:t>
      </w:r>
      <w:r>
        <w:rPr>
          <w:rFonts w:hint="eastAsia"/>
          <w:color w:val="auto"/>
        </w:rPr>
        <w:t>主管部门</w:t>
      </w:r>
      <w:r>
        <w:rPr>
          <w:rFonts w:hint="eastAsia" w:ascii="Times New Roman" w:eastAsia="仿宋_GB2312" w:cs="Times New Roman"/>
          <w:color w:val="auto"/>
          <w:kern w:val="2"/>
          <w:sz w:val="28"/>
        </w:rPr>
        <w:t>负责本行政区域内古树名木</w:t>
      </w:r>
      <w:r>
        <w:rPr>
          <w:rFonts w:hint="eastAsia" w:ascii="Times New Roman" w:eastAsia="仿宋_GB2312" w:cs="Times New Roman"/>
          <w:color w:val="auto"/>
          <w:kern w:val="2"/>
          <w:sz w:val="28"/>
          <w:lang w:val="en-US" w:eastAsia="zh-CN"/>
        </w:rPr>
        <w:t>的保护工作。</w:t>
      </w:r>
    </w:p>
    <w:p>
      <w:pPr>
        <w:ind w:firstLine="560"/>
        <w:rPr>
          <w:rFonts w:hint="eastAsia"/>
          <w:color w:val="auto"/>
        </w:rPr>
      </w:pPr>
      <w:r>
        <w:rPr>
          <w:rFonts w:hint="eastAsia" w:ascii="Times New Roman" w:eastAsia="仿宋_GB2312" w:cs="Times New Roman"/>
          <w:color w:val="auto"/>
          <w:kern w:val="2"/>
          <w:sz w:val="28"/>
        </w:rPr>
        <w:t>市丹霞山管理委员会负责本行政区域内世界自然遗产</w:t>
      </w:r>
      <w:r>
        <w:rPr>
          <w:rFonts w:hint="eastAsia" w:ascii="Times New Roman" w:eastAsia="仿宋_GB2312" w:cs="Times New Roman"/>
          <w:color w:val="auto"/>
          <w:kern w:val="2"/>
          <w:sz w:val="28"/>
          <w:lang w:val="en-US" w:eastAsia="zh-CN"/>
        </w:rPr>
        <w:t>的保护工作。</w:t>
      </w:r>
    </w:p>
    <w:p>
      <w:pPr>
        <w:ind w:firstLine="560"/>
        <w:rPr>
          <w:rFonts w:hint="eastAsia"/>
          <w:color w:val="auto"/>
        </w:rPr>
      </w:pPr>
      <w:r>
        <w:rPr>
          <w:rFonts w:hint="eastAsia"/>
          <w:color w:val="auto"/>
        </w:rPr>
        <w:t>其他有关部门，应当按照各自职责和本办法规定，共同做好历史文化名城保护工作。</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51" w:name="_Toc28110"/>
      <w:bookmarkEnd w:id="51"/>
      <w:bookmarkStart w:id="52" w:name="_Toc3260"/>
      <w:bookmarkStart w:id="53" w:name="_Hlk42011055"/>
    </w:p>
    <w:bookmarkEnd w:id="52"/>
    <w:p>
      <w:pPr>
        <w:ind w:firstLine="560"/>
        <w:rPr>
          <w:color w:val="auto"/>
        </w:rPr>
      </w:pPr>
      <w:r>
        <w:rPr>
          <w:rFonts w:hint="eastAsia"/>
          <w:color w:val="auto"/>
        </w:rPr>
        <w:t>市人民政府应当定期组织有关部门对历史文化名城保护工作进行评估。</w:t>
      </w:r>
    </w:p>
    <w:p>
      <w:pPr>
        <w:ind w:firstLine="560"/>
        <w:rPr>
          <w:color w:val="auto"/>
        </w:rPr>
      </w:pPr>
      <w:r>
        <w:rPr>
          <w:rFonts w:hint="eastAsia"/>
          <w:color w:val="auto"/>
        </w:rPr>
        <w:t>市国土空间规划委员会应当有计划地通过组织执法检查、听取和审议专项工作报告等方式，加强对本市关于历史文化名城保护工作的监督检查。</w:t>
      </w:r>
    </w:p>
    <w:p>
      <w:pPr>
        <w:ind w:firstLine="560"/>
        <w:rPr>
          <w:color w:val="auto"/>
        </w:rPr>
      </w:pPr>
      <w:r>
        <w:rPr>
          <w:rFonts w:hint="eastAsia"/>
          <w:color w:val="auto"/>
        </w:rPr>
        <w:t>县（市、区）人民政府应当严格执行保护规划，建立历史文化名城保护日常巡查管理机制，加强对有关行政管理部门落实保护规划情况的监督检查。</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54" w:name="_Toc32056"/>
      <w:bookmarkEnd w:id="54"/>
      <w:bookmarkStart w:id="55" w:name="_Toc9536"/>
    </w:p>
    <w:bookmarkEnd w:id="55"/>
    <w:p>
      <w:pPr>
        <w:ind w:firstLine="560"/>
        <w:rPr>
          <w:color w:val="auto"/>
        </w:rPr>
      </w:pPr>
      <w:r>
        <w:rPr>
          <w:rFonts w:hint="eastAsia"/>
          <w:color w:val="auto"/>
        </w:rPr>
        <w:t>建立本市</w:t>
      </w:r>
      <w:r>
        <w:rPr>
          <w:color w:val="auto"/>
        </w:rPr>
        <w:t>历史文化名城保护资金多渠道筹集机制</w:t>
      </w:r>
      <w:r>
        <w:rPr>
          <w:rFonts w:hint="eastAsia"/>
          <w:color w:val="auto"/>
        </w:rPr>
        <w:t>，</w:t>
      </w:r>
      <w:r>
        <w:rPr>
          <w:color w:val="auto"/>
        </w:rPr>
        <w:t>通过下列渠道筹集资金，用于本</w:t>
      </w:r>
      <w:r>
        <w:rPr>
          <w:rFonts w:hint="eastAsia"/>
          <w:color w:val="auto"/>
        </w:rPr>
        <w:t>办法</w:t>
      </w:r>
      <w:r>
        <w:rPr>
          <w:color w:val="auto"/>
        </w:rPr>
        <w:t>规定的保护对象的普查认定、</w:t>
      </w:r>
      <w:r>
        <w:rPr>
          <w:rFonts w:hint="eastAsia"/>
          <w:color w:val="auto"/>
        </w:rPr>
        <w:t>测绘、</w:t>
      </w:r>
      <w:r>
        <w:rPr>
          <w:color w:val="auto"/>
        </w:rPr>
        <w:t>保护修缮、抢险，以及相关的环境整治、基础设施建设，学术研究和规划</w:t>
      </w:r>
      <w:r>
        <w:rPr>
          <w:rFonts w:hint="eastAsia"/>
          <w:color w:val="auto"/>
        </w:rPr>
        <w:t>编制</w:t>
      </w:r>
      <w:r>
        <w:rPr>
          <w:color w:val="auto"/>
        </w:rPr>
        <w:t>，教育培训，保护利用</w:t>
      </w:r>
      <w:r>
        <w:rPr>
          <w:rFonts w:hint="eastAsia"/>
          <w:color w:val="auto"/>
        </w:rPr>
        <w:t>和奖励</w:t>
      </w:r>
      <w:r>
        <w:rPr>
          <w:color w:val="auto"/>
        </w:rPr>
        <w:t>等工作</w:t>
      </w:r>
      <w:r>
        <w:rPr>
          <w:rFonts w:hint="eastAsia"/>
          <w:color w:val="auto"/>
        </w:rPr>
        <w:t>。保护资金来源包括：</w:t>
      </w:r>
    </w:p>
    <w:p>
      <w:pPr>
        <w:ind w:firstLine="560"/>
        <w:rPr>
          <w:color w:val="auto"/>
        </w:rPr>
      </w:pPr>
      <w:r>
        <w:rPr>
          <w:rFonts w:hint="eastAsia"/>
          <w:color w:val="auto"/>
        </w:rPr>
        <w:t>（一）市、县（市、区）人民政府财政预算安排的保护资金；</w:t>
      </w:r>
    </w:p>
    <w:p>
      <w:pPr>
        <w:ind w:firstLine="560"/>
        <w:rPr>
          <w:color w:val="auto"/>
        </w:rPr>
      </w:pPr>
      <w:r>
        <w:rPr>
          <w:rFonts w:hint="eastAsia"/>
          <w:color w:val="auto"/>
        </w:rPr>
        <w:t>（二）上级财政专项补助的资金；</w:t>
      </w:r>
    </w:p>
    <w:p>
      <w:pPr>
        <w:ind w:firstLine="560"/>
        <w:rPr>
          <w:color w:val="auto"/>
        </w:rPr>
      </w:pPr>
      <w:r>
        <w:rPr>
          <w:rFonts w:hint="eastAsia"/>
          <w:color w:val="auto"/>
        </w:rPr>
        <w:t>（三）历史文化名城所涉及的国有建筑物转让、抵押、出租等有偿经营和服务获得的部分收益；</w:t>
      </w:r>
    </w:p>
    <w:p>
      <w:pPr>
        <w:ind w:firstLine="560"/>
        <w:rPr>
          <w:color w:val="auto"/>
        </w:rPr>
      </w:pPr>
      <w:r>
        <w:rPr>
          <w:rFonts w:hint="eastAsia"/>
          <w:color w:val="auto"/>
        </w:rPr>
        <w:t>（四）境内外单位、个人和其他组织的捐赠；</w:t>
      </w:r>
    </w:p>
    <w:p>
      <w:pPr>
        <w:ind w:firstLine="560"/>
        <w:rPr>
          <w:color w:val="auto"/>
        </w:rPr>
      </w:pPr>
      <w:r>
        <w:rPr>
          <w:rFonts w:hint="eastAsia"/>
          <w:color w:val="auto"/>
        </w:rPr>
        <w:t>（五）其他依法筹集的资金。</w:t>
      </w:r>
    </w:p>
    <w:bookmarkEnd w:id="53"/>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56" w:name="_Toc16646"/>
      <w:bookmarkEnd w:id="56"/>
      <w:bookmarkStart w:id="57" w:name="_Toc11995"/>
    </w:p>
    <w:bookmarkEnd w:id="57"/>
    <w:p>
      <w:pPr>
        <w:ind w:firstLine="560"/>
        <w:rPr>
          <w:color w:val="auto"/>
        </w:rPr>
      </w:pPr>
      <w:r>
        <w:rPr>
          <w:rFonts w:hint="eastAsia"/>
          <w:color w:val="auto"/>
        </w:rPr>
        <w:t>任何单位和个人都有权提出历史文化名城保护的意见和建议，对破坏、损害历史文化名城的行为进行劝阻、举报和控告。</w:t>
      </w:r>
    </w:p>
    <w:p>
      <w:pPr>
        <w:ind w:firstLine="560"/>
        <w:rPr>
          <w:color w:val="auto"/>
        </w:rPr>
      </w:pPr>
      <w:r>
        <w:rPr>
          <w:rFonts w:hint="eastAsia"/>
          <w:color w:val="auto"/>
        </w:rPr>
        <w:t>鼓励单位和个人以捐赠、资助、投资、成立公益性组织、提供技术服务或者志愿服务等方式参与历史文化名城保护。</w:t>
      </w:r>
    </w:p>
    <w:p>
      <w:pPr>
        <w:ind w:firstLine="560"/>
        <w:rPr>
          <w:color w:val="auto"/>
        </w:rPr>
      </w:pPr>
      <w:r>
        <w:rPr>
          <w:rFonts w:hint="eastAsia"/>
          <w:color w:val="auto"/>
        </w:rPr>
        <w:t>对在历史文化名城保护工作中做出突出贡献的单位和个人，由市、县（市、区）人民政府给予表彰和奖励。具体办法由市人民政府另行规定。</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58" w:name="_Toc4969"/>
      <w:bookmarkEnd w:id="58"/>
      <w:bookmarkStart w:id="59" w:name="_Toc15111"/>
    </w:p>
    <w:bookmarkEnd w:id="59"/>
    <w:p>
      <w:pPr>
        <w:ind w:firstLine="560"/>
        <w:rPr>
          <w:color w:val="auto"/>
        </w:rPr>
      </w:pPr>
      <w:r>
        <w:rPr>
          <w:rFonts w:hint="eastAsia"/>
          <w:color w:val="auto"/>
        </w:rPr>
        <w:t>市、县（市、区）人民政府及其有关部门应当加强历史文化名城的研究、宣传、教育工作，通过组织开展传统文化研究、编印出版物、培训、展览、媒体宣传等方式，弘扬本地优秀历史文化，普及保护知识，增强全社会历史文化名城保护意识。</w:t>
      </w:r>
    </w:p>
    <w:p>
      <w:pPr>
        <w:ind w:firstLine="560"/>
        <w:rPr>
          <w:color w:val="auto"/>
        </w:rPr>
      </w:pPr>
      <w:r>
        <w:rPr>
          <w:rFonts w:hint="eastAsia"/>
          <w:color w:val="auto"/>
        </w:rPr>
        <w:t>鼓励和支持学校开展与历史文化名城保护相关的实践教育活动。</w:t>
      </w:r>
    </w:p>
    <w:p>
      <w:pPr>
        <w:pStyle w:val="2"/>
        <w:rPr>
          <w:rStyle w:val="30"/>
          <w:b/>
          <w:bCs w:val="0"/>
          <w:color w:val="auto"/>
        </w:rPr>
      </w:pPr>
      <w:bookmarkStart w:id="60" w:name="_Toc10548"/>
      <w:bookmarkStart w:id="61" w:name="_Toc1302"/>
      <w:bookmarkStart w:id="62" w:name="_Toc27553"/>
      <w:bookmarkStart w:id="63" w:name="_Toc14197"/>
      <w:bookmarkStart w:id="64" w:name="_Toc9998"/>
      <w:bookmarkStart w:id="65" w:name="_Toc20080"/>
      <w:bookmarkStart w:id="66" w:name="_Toc27534"/>
      <w:bookmarkStart w:id="67" w:name="_Toc17491"/>
      <w:bookmarkStart w:id="68" w:name="_Toc29989"/>
      <w:bookmarkStart w:id="69" w:name="_Toc16432"/>
      <w:bookmarkStart w:id="70" w:name="_Toc31225"/>
      <w:bookmarkStart w:id="71" w:name="_Toc8789"/>
      <w:bookmarkStart w:id="72" w:name="_Toc25139"/>
      <w:bookmarkStart w:id="73" w:name="_Toc22886"/>
      <w:bookmarkStart w:id="74" w:name="_Toc32153"/>
      <w:bookmarkStart w:id="75" w:name="_Toc31785"/>
      <w:bookmarkStart w:id="76" w:name="_Toc28591"/>
      <w:bookmarkStart w:id="77" w:name="_Toc10332"/>
      <w:bookmarkStart w:id="78" w:name="_Toc6996"/>
      <w:bookmarkStart w:id="79" w:name="_Toc4817"/>
      <w:bookmarkStart w:id="80" w:name="_Toc6434"/>
      <w:bookmarkStart w:id="81" w:name="_Toc27979"/>
      <w:bookmarkStart w:id="82" w:name="_Toc29752"/>
      <w:bookmarkStart w:id="83" w:name="_Toc21597"/>
      <w:bookmarkStart w:id="84" w:name="_Toc21385"/>
      <w:bookmarkStart w:id="85" w:name="_Toc12019"/>
      <w:bookmarkStart w:id="86" w:name="_Toc18639"/>
      <w:bookmarkStart w:id="87" w:name="_Toc2649"/>
      <w:bookmarkStart w:id="88" w:name="_Toc14476"/>
      <w:bookmarkStart w:id="89" w:name="_Toc22290"/>
      <w:bookmarkStart w:id="90" w:name="_Toc22248"/>
      <w:bookmarkStart w:id="91" w:name="_Toc1333"/>
      <w:bookmarkStart w:id="92" w:name="_Toc26820"/>
      <w:bookmarkStart w:id="93" w:name="_Toc16740"/>
      <w:bookmarkStart w:id="94" w:name="_Toc7043"/>
      <w:bookmarkStart w:id="95" w:name="_Toc3747"/>
      <w:bookmarkStart w:id="96" w:name="_Toc25843"/>
      <w:bookmarkStart w:id="97" w:name="_Toc1807"/>
      <w:bookmarkStart w:id="98" w:name="_Toc16667"/>
      <w:bookmarkStart w:id="99" w:name="_Toc4691"/>
      <w:bookmarkStart w:id="100" w:name="_Toc20665"/>
      <w:r>
        <w:rPr>
          <w:rStyle w:val="30"/>
          <w:rFonts w:hint="eastAsia"/>
          <w:b/>
          <w:bCs w:val="0"/>
          <w:color w:val="auto"/>
        </w:rPr>
        <w:t>第二章</w:t>
      </w:r>
      <w:r>
        <w:rPr>
          <w:rStyle w:val="30"/>
          <w:rFonts w:hint="eastAsia"/>
          <w:b/>
          <w:bCs w:val="0"/>
          <w:color w:val="auto"/>
          <w:lang w:val="en-US" w:eastAsia="zh-CN"/>
        </w:rPr>
        <w:t xml:space="preserve"> </w:t>
      </w:r>
      <w:r>
        <w:rPr>
          <w:rStyle w:val="30"/>
          <w:rFonts w:hint="eastAsia"/>
          <w:b/>
          <w:bCs w:val="0"/>
          <w:color w:val="auto"/>
        </w:rPr>
        <w:t>保护名录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bCs/>
          <w:color w:val="auto"/>
          <w:sz w:val="30"/>
          <w:szCs w:val="30"/>
        </w:rPr>
      </w:pPr>
      <w:bookmarkStart w:id="101" w:name="_Toc24355"/>
      <w:bookmarkEnd w:id="101"/>
      <w:bookmarkStart w:id="102" w:name="_Toc25976"/>
      <w:bookmarkStart w:id="103" w:name="_Toc5560"/>
      <w:bookmarkStart w:id="104" w:name="_Toc3403"/>
      <w:bookmarkStart w:id="105" w:name="_Toc23478"/>
      <w:bookmarkStart w:id="106" w:name="_Toc28516"/>
      <w:bookmarkStart w:id="107" w:name="_Toc15553"/>
      <w:bookmarkStart w:id="108" w:name="_Toc31841"/>
      <w:bookmarkStart w:id="109" w:name="_Toc3529"/>
      <w:bookmarkStart w:id="110" w:name="_Toc4755"/>
      <w:bookmarkStart w:id="111" w:name="_Toc8055"/>
      <w:bookmarkStart w:id="112" w:name="_Toc32740"/>
      <w:bookmarkStart w:id="113" w:name="_Toc26149"/>
      <w:bookmarkStart w:id="114" w:name="_Toc24535"/>
      <w:bookmarkStart w:id="115" w:name="_Toc4917"/>
      <w:bookmarkStart w:id="116" w:name="_Toc29581"/>
      <w:bookmarkStart w:id="117" w:name="_Toc15842"/>
      <w:bookmarkStart w:id="118" w:name="_Toc27872"/>
    </w:p>
    <w:bookmarkEnd w:id="102"/>
    <w:p>
      <w:pPr>
        <w:ind w:firstLine="560"/>
        <w:rPr>
          <w:color w:val="auto"/>
        </w:rPr>
      </w:pPr>
      <w:r>
        <w:rPr>
          <w:rFonts w:hint="eastAsia"/>
          <w:color w:val="auto"/>
        </w:rPr>
        <w:t>市人民政府应当建立历史文化名城保护名录制度，将下列保护对象纳入保护名录：</w:t>
      </w:r>
    </w:p>
    <w:p>
      <w:pPr>
        <w:ind w:firstLine="560"/>
        <w:rPr>
          <w:color w:val="auto"/>
        </w:rPr>
      </w:pPr>
      <w:r>
        <w:rPr>
          <w:rFonts w:hint="eastAsia"/>
          <w:color w:val="auto"/>
        </w:rPr>
        <w:t>（一）历史城区；</w:t>
      </w:r>
    </w:p>
    <w:p>
      <w:pPr>
        <w:ind w:firstLine="560"/>
        <w:rPr>
          <w:color w:val="auto"/>
        </w:rPr>
      </w:pPr>
      <w:r>
        <w:rPr>
          <w:rFonts w:hint="eastAsia"/>
          <w:color w:val="auto"/>
        </w:rPr>
        <w:t>（二）历史文化街区、历史地段；</w:t>
      </w:r>
    </w:p>
    <w:p>
      <w:pPr>
        <w:ind w:firstLine="560"/>
        <w:rPr>
          <w:color w:val="auto"/>
        </w:rPr>
      </w:pPr>
      <w:r>
        <w:rPr>
          <w:rFonts w:hint="eastAsia"/>
          <w:color w:val="auto"/>
        </w:rPr>
        <w:t>（三）历史文化名镇、历史文化名村和传统村落；</w:t>
      </w:r>
    </w:p>
    <w:p>
      <w:pPr>
        <w:ind w:firstLine="560"/>
        <w:rPr>
          <w:color w:val="auto"/>
        </w:rPr>
      </w:pPr>
      <w:r>
        <w:rPr>
          <w:rFonts w:hint="eastAsia"/>
          <w:color w:val="auto"/>
        </w:rPr>
        <w:t>（四）不可移动文物；</w:t>
      </w:r>
    </w:p>
    <w:p>
      <w:pPr>
        <w:ind w:firstLine="560"/>
        <w:rPr>
          <w:color w:val="auto"/>
        </w:rPr>
      </w:pPr>
      <w:r>
        <w:rPr>
          <w:rFonts w:hint="eastAsia"/>
          <w:color w:val="auto"/>
        </w:rPr>
        <w:t>（五）历史建筑；</w:t>
      </w:r>
    </w:p>
    <w:p>
      <w:pPr>
        <w:ind w:firstLine="560"/>
        <w:rPr>
          <w:color w:val="auto"/>
        </w:rPr>
      </w:pPr>
      <w:r>
        <w:rPr>
          <w:rFonts w:hint="eastAsia"/>
          <w:color w:val="auto"/>
        </w:rPr>
        <w:t>（六）工业遗产、农业文化遗产、灌溉工程遗产；</w:t>
      </w:r>
    </w:p>
    <w:p>
      <w:pPr>
        <w:ind w:firstLine="560"/>
        <w:rPr>
          <w:color w:val="auto"/>
        </w:rPr>
      </w:pPr>
      <w:r>
        <w:rPr>
          <w:rFonts w:hint="eastAsia"/>
          <w:color w:val="auto"/>
        </w:rPr>
        <w:t>（七）非物质文化遗产、地名文化遗产；</w:t>
      </w:r>
    </w:p>
    <w:p>
      <w:pPr>
        <w:ind w:firstLine="560"/>
        <w:rPr>
          <w:color w:val="auto"/>
        </w:rPr>
      </w:pPr>
      <w:r>
        <w:rPr>
          <w:rFonts w:hint="eastAsia"/>
          <w:color w:val="auto"/>
        </w:rPr>
        <w:t>（八）法律、法规规定的其他保护对象。</w:t>
      </w:r>
    </w:p>
    <w:p>
      <w:pPr>
        <w:ind w:firstLine="560"/>
        <w:rPr>
          <w:color w:val="auto"/>
        </w:rPr>
      </w:pPr>
      <w:r>
        <w:rPr>
          <w:rFonts w:hint="eastAsia"/>
          <w:color w:val="auto"/>
        </w:rPr>
        <w:t>保护名录应当载明保护对象的名称、区位、建成时间和历史价值等内容。保护名录应当向社会公开。</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color w:val="auto"/>
        </w:rPr>
      </w:pPr>
      <w:bookmarkStart w:id="119" w:name="_Toc25477"/>
      <w:bookmarkEnd w:id="119"/>
      <w:bookmarkStart w:id="120" w:name="_Toc22898"/>
    </w:p>
    <w:bookmarkEnd w:id="120"/>
    <w:p>
      <w:pPr>
        <w:ind w:firstLine="560"/>
        <w:rPr>
          <w:color w:val="auto"/>
        </w:rPr>
      </w:pPr>
      <w:r>
        <w:rPr>
          <w:rFonts w:hint="eastAsia"/>
          <w:color w:val="auto"/>
        </w:rPr>
        <w:t>市人民政府应当组织市</w:t>
      </w:r>
      <w:r>
        <w:rPr>
          <w:rFonts w:hint="eastAsia"/>
          <w:color w:val="auto"/>
          <w:lang w:eastAsia="zh-CN"/>
        </w:rPr>
        <w:t>住房和城乡建设</w:t>
      </w:r>
      <w:r>
        <w:rPr>
          <w:rFonts w:hint="eastAsia"/>
          <w:color w:val="auto"/>
        </w:rPr>
        <w:t>、文物、工业和信息化、农业农村、水务、民政等主管部门收集、编制各类保护名录，建立列入保护名录的保护对象档案数据库，并及时更新完善。</w:t>
      </w:r>
    </w:p>
    <w:p>
      <w:pPr>
        <w:ind w:firstLine="560"/>
        <w:rPr>
          <w:color w:val="auto"/>
        </w:rPr>
      </w:pPr>
      <w:r>
        <w:rPr>
          <w:rFonts w:hint="eastAsia"/>
          <w:color w:val="auto"/>
        </w:rPr>
        <w:t>市</w:t>
      </w:r>
      <w:r>
        <w:rPr>
          <w:rFonts w:hint="eastAsia"/>
          <w:color w:val="auto"/>
          <w:lang w:eastAsia="zh-CN"/>
        </w:rPr>
        <w:t>住房和城乡建设</w:t>
      </w:r>
      <w:r>
        <w:rPr>
          <w:rFonts w:hint="eastAsia"/>
          <w:color w:val="auto"/>
        </w:rPr>
        <w:t>、文物、工业和信息化、农业农村、水务、民政等主管部门应当提出所主管保护对象的名录建议，征求所在地县（市、区）人民政府、乡镇人民政府、街道办事处、利害关系人及社会公众意见，组织专家论证并向社会公示，公示时间不得少于三十日，经市国土空间规划委员会审议后，由</w:t>
      </w:r>
      <w:r>
        <w:rPr>
          <w:rFonts w:hint="eastAsia"/>
          <w:color w:val="auto"/>
          <w:lang w:eastAsia="zh-CN"/>
        </w:rPr>
        <w:t>市住房和城乡建设主管部门</w:t>
      </w:r>
      <w:r>
        <w:rPr>
          <w:rFonts w:hint="eastAsia"/>
          <w:color w:val="auto"/>
        </w:rPr>
        <w:t>会同</w:t>
      </w:r>
      <w:r>
        <w:rPr>
          <w:rFonts w:hint="eastAsia"/>
          <w:color w:val="auto"/>
          <w:lang w:eastAsia="zh-CN"/>
        </w:rPr>
        <w:t>市</w:t>
      </w:r>
      <w:r>
        <w:rPr>
          <w:rFonts w:hint="eastAsia"/>
          <w:color w:val="auto"/>
        </w:rPr>
        <w:t>文物、工业和信息化、农业农村、水务、民政等主管部门报市人民政府批准后公布。</w:t>
      </w:r>
    </w:p>
    <w:p>
      <w:pPr>
        <w:ind w:firstLine="560"/>
        <w:rPr>
          <w:color w:val="auto"/>
        </w:rPr>
      </w:pPr>
      <w:r>
        <w:rPr>
          <w:rFonts w:hint="eastAsia"/>
          <w:color w:val="auto"/>
        </w:rPr>
        <w:t>任何单位和个人可以向所在地县（市、区）人民政府建议，将具有保护价值的对象列入保护名录。</w:t>
      </w:r>
    </w:p>
    <w:p>
      <w:pPr>
        <w:ind w:firstLine="560"/>
        <w:rPr>
          <w:color w:val="auto"/>
        </w:rPr>
      </w:pPr>
      <w:r>
        <w:rPr>
          <w:rFonts w:hint="eastAsia"/>
          <w:color w:val="auto"/>
        </w:rPr>
        <w:t>依法确定的保护名录不得擅自调整或撤销。</w:t>
      </w:r>
    </w:p>
    <w:p>
      <w:pPr>
        <w:ind w:firstLine="560"/>
        <w:jc w:val="left"/>
        <w:rPr>
          <w:color w:val="auto"/>
        </w:rPr>
      </w:pPr>
      <w:r>
        <w:rPr>
          <w:rFonts w:hint="eastAsia"/>
          <w:color w:val="auto"/>
        </w:rPr>
        <w:t>对因不可抗力导致灭失或重大公共基础设施建设等情形，确需对保护名录进行调整、撤销的，按原审批程序报送审批和公布。因保护等级、类型发生变化等事由需要对保护名录进行调整的，由县（市、区）</w:t>
      </w:r>
      <w:r>
        <w:rPr>
          <w:rFonts w:hint="eastAsia"/>
          <w:color w:val="auto"/>
          <w:lang w:eastAsia="zh-CN"/>
        </w:rPr>
        <w:t>住房和城乡建设</w:t>
      </w:r>
      <w:r>
        <w:rPr>
          <w:rFonts w:hint="eastAsia"/>
          <w:color w:val="auto"/>
        </w:rPr>
        <w:t>主管部门会同同级文物、工业和信息化、农业农村、水务、民政等主管部门提出调整方案，报市人民政府批准后予以调整。</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color w:val="auto"/>
        </w:rPr>
      </w:pPr>
      <w:bookmarkStart w:id="121" w:name="_Toc32625"/>
      <w:bookmarkEnd w:id="121"/>
      <w:bookmarkStart w:id="122" w:name="_Toc3011"/>
    </w:p>
    <w:bookmarkEnd w:id="122"/>
    <w:p>
      <w:pPr>
        <w:ind w:firstLine="560"/>
        <w:rPr>
          <w:color w:val="auto"/>
        </w:rPr>
      </w:pPr>
      <w:r>
        <w:rPr>
          <w:rFonts w:hint="eastAsia"/>
          <w:color w:val="auto"/>
        </w:rPr>
        <w:t>市人民政府应当组织县（市、区）人民政府开展历史文化遗产的普查工作。县（市、区）人民政府应当将在普查中发现并经专家论证认为具有保护价值的建筑物、构筑物、建筑群、村、镇确定为预先保护对象。</w:t>
      </w:r>
    </w:p>
    <w:p>
      <w:pPr>
        <w:ind w:firstLine="560"/>
        <w:rPr>
          <w:color w:val="auto"/>
        </w:rPr>
      </w:pPr>
      <w:r>
        <w:rPr>
          <w:rFonts w:hint="eastAsia"/>
          <w:color w:val="auto"/>
        </w:rPr>
        <w:t>任何单位和个人发现有保护价值的建筑物、构筑物、建筑群、村、镇，可以向所在地县（市、区）</w:t>
      </w:r>
      <w:r>
        <w:rPr>
          <w:rFonts w:hint="eastAsia"/>
          <w:color w:val="auto"/>
          <w:lang w:eastAsia="zh-CN"/>
        </w:rPr>
        <w:t>住房和城乡建设</w:t>
      </w:r>
      <w:r>
        <w:rPr>
          <w:rFonts w:hint="eastAsia"/>
          <w:color w:val="auto"/>
        </w:rPr>
        <w:t>或文物主管部门报告。所在地县（市、区）</w:t>
      </w:r>
      <w:r>
        <w:rPr>
          <w:rFonts w:hint="eastAsia"/>
          <w:color w:val="auto"/>
          <w:lang w:eastAsia="zh-CN"/>
        </w:rPr>
        <w:t>住房和城乡建设</w:t>
      </w:r>
      <w:r>
        <w:rPr>
          <w:rFonts w:hint="eastAsia"/>
          <w:color w:val="auto"/>
        </w:rPr>
        <w:t>或文物主管部</w:t>
      </w:r>
      <w:r>
        <w:rPr>
          <w:rFonts w:hint="eastAsia"/>
          <w:color w:val="auto"/>
          <w:lang w:eastAsia="zh-CN"/>
        </w:rPr>
        <w:t>门</w:t>
      </w:r>
      <w:r>
        <w:rPr>
          <w:rFonts w:hint="eastAsia"/>
          <w:color w:val="auto"/>
        </w:rPr>
        <w:t>接到报告后，应当立即通知建筑物、构筑物、建筑群、村、镇所在地的县（市、区）人民政府。县（市、区）人民政府应当在接到通知后的二十日内组织专家进行论证，经核实具有保护价值的，应当确定为预先保护对象，并立即采取相应的保护措施，同步向</w:t>
      </w:r>
      <w:r>
        <w:rPr>
          <w:rFonts w:hint="eastAsia"/>
          <w:color w:val="auto"/>
          <w:lang w:eastAsia="zh-CN"/>
        </w:rPr>
        <w:t>市住房和城乡建设主管部门</w:t>
      </w:r>
      <w:r>
        <w:rPr>
          <w:rFonts w:hint="eastAsia"/>
          <w:color w:val="auto"/>
        </w:rPr>
        <w:t>报告。</w:t>
      </w:r>
      <w:r>
        <w:rPr>
          <w:rFonts w:hint="eastAsia"/>
          <w:color w:val="auto"/>
          <w:lang w:eastAsia="zh-CN"/>
        </w:rPr>
        <w:t>市住房和城乡建设主管部门</w:t>
      </w:r>
      <w:r>
        <w:rPr>
          <w:rFonts w:hint="eastAsia"/>
          <w:color w:val="auto"/>
        </w:rPr>
        <w:t>应当在收到报告之日起两个月内，会同该保护对象同级主管部门启动保护名录认定程序。</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color w:val="auto"/>
        </w:rPr>
      </w:pPr>
      <w:bookmarkStart w:id="123" w:name="_Toc25507"/>
      <w:bookmarkEnd w:id="123"/>
      <w:bookmarkStart w:id="124" w:name="_Toc22975"/>
      <w:bookmarkStart w:id="125" w:name="_Toc10760"/>
    </w:p>
    <w:bookmarkEnd w:id="124"/>
    <w:bookmarkEnd w:id="125"/>
    <w:p>
      <w:pPr>
        <w:ind w:firstLine="560"/>
        <w:rPr>
          <w:color w:val="auto"/>
        </w:rPr>
      </w:pPr>
      <w:r>
        <w:rPr>
          <w:rFonts w:hint="eastAsia"/>
          <w:color w:val="auto"/>
        </w:rPr>
        <w:t>县（</w:t>
      </w:r>
      <w:r>
        <w:rPr>
          <w:color w:val="auto"/>
          <w:lang w:val="en"/>
        </w:rPr>
        <w:t>市、区</w:t>
      </w:r>
      <w:r>
        <w:rPr>
          <w:rFonts w:hint="eastAsia"/>
          <w:color w:val="auto"/>
        </w:rPr>
        <w:t>）人民政府应当对辖区内的预先保护对象实施预先保护，在确定为预先保护对象之日起十日内向其所有权人、使用权人或代管人发出预先保护通知，并在当地村（居）民委员会的公示栏上公告，所在地乡镇人民政府、街道办事处应当派员到现场开展日常巡查和保护。</w:t>
      </w:r>
    </w:p>
    <w:p>
      <w:pPr>
        <w:ind w:firstLine="560"/>
        <w:rPr>
          <w:color w:val="auto"/>
        </w:rPr>
      </w:pPr>
      <w:r>
        <w:rPr>
          <w:rFonts w:hint="eastAsia"/>
          <w:color w:val="auto"/>
        </w:rPr>
        <w:t>预先保护期自县（</w:t>
      </w:r>
      <w:r>
        <w:rPr>
          <w:color w:val="auto"/>
          <w:lang w:val="en"/>
        </w:rPr>
        <w:t>市、区</w:t>
      </w:r>
      <w:r>
        <w:rPr>
          <w:rFonts w:hint="eastAsia"/>
          <w:color w:val="auto"/>
        </w:rPr>
        <w:t>）人民政府发出预先保护通知之日起一年。预先保护对象超过一年未被纳入保护名录的，预先保护决定自行失效。</w:t>
      </w:r>
    </w:p>
    <w:p>
      <w:pPr>
        <w:keepNext w:val="0"/>
        <w:keepLines w:val="0"/>
        <w:pageBreakBefore w:val="0"/>
        <w:widowControl w:val="0"/>
        <w:kinsoku/>
        <w:wordWrap/>
        <w:overflowPunct/>
        <w:topLinePunct w:val="0"/>
        <w:autoSpaceDE/>
        <w:autoSpaceDN/>
        <w:bidi w:val="0"/>
        <w:adjustRightInd/>
        <w:snapToGrid/>
        <w:ind w:firstLine="560"/>
        <w:jc w:val="left"/>
        <w:textAlignment w:val="auto"/>
        <w:rPr>
          <w:rFonts w:hint="eastAsia"/>
          <w:color w:val="auto"/>
        </w:rPr>
      </w:pPr>
      <w:r>
        <w:rPr>
          <w:rFonts w:hint="eastAsia"/>
          <w:color w:val="auto"/>
        </w:rPr>
        <w:t>预先保护期内，任何单位和个人不得损坏或者擅自迁移、拆除预先保护对象，必须拆除或者迁移预先保护对象的，由该保护对象主管部门组织专家论证，制定补救措施后报市人民政府批准，并报</w:t>
      </w:r>
      <w:r>
        <w:rPr>
          <w:rFonts w:hint="eastAsia"/>
          <w:color w:val="auto"/>
          <w:lang w:eastAsia="zh-CN"/>
        </w:rPr>
        <w:t>市住房和城乡建设主管部门</w:t>
      </w:r>
      <w:r>
        <w:rPr>
          <w:rFonts w:hint="eastAsia"/>
          <w:color w:val="auto"/>
        </w:rPr>
        <w:t>备案。</w:t>
      </w:r>
      <w:bookmarkStart w:id="126" w:name="_Toc16996"/>
      <w:bookmarkStart w:id="127" w:name="_Toc21648"/>
      <w:bookmarkStart w:id="128" w:name="_Toc31605"/>
      <w:bookmarkStart w:id="129" w:name="_Toc10792"/>
      <w:bookmarkStart w:id="130" w:name="_Toc15791"/>
      <w:bookmarkStart w:id="131" w:name="_Toc31402"/>
      <w:bookmarkStart w:id="132" w:name="_Toc23573"/>
      <w:bookmarkStart w:id="133" w:name="_Toc30052"/>
      <w:bookmarkStart w:id="134" w:name="_Toc5498"/>
      <w:bookmarkStart w:id="135" w:name="_Toc27441"/>
      <w:bookmarkStart w:id="136" w:name="_Toc5217"/>
      <w:bookmarkStart w:id="137" w:name="_Toc5189"/>
      <w:bookmarkStart w:id="138" w:name="_Toc20463"/>
      <w:bookmarkStart w:id="139" w:name="_Toc32560"/>
      <w:bookmarkStart w:id="140" w:name="_Toc20973"/>
      <w:bookmarkStart w:id="141" w:name="_Toc124"/>
    </w:p>
    <w:p>
      <w:pPr>
        <w:pStyle w:val="2"/>
        <w:bidi w:val="0"/>
        <w:rPr>
          <w:rStyle w:val="30"/>
          <w:b/>
          <w:bCs w:val="0"/>
          <w:color w:val="auto"/>
        </w:rPr>
      </w:pPr>
      <w:bookmarkStart w:id="142" w:name="_Toc13722"/>
      <w:r>
        <w:rPr>
          <w:rStyle w:val="30"/>
          <w:rFonts w:hint="eastAsia"/>
          <w:b/>
          <w:bCs w:val="0"/>
          <w:color w:val="auto"/>
        </w:rPr>
        <w:t>第三章</w:t>
      </w:r>
      <w:r>
        <w:rPr>
          <w:rStyle w:val="30"/>
          <w:rFonts w:hint="eastAsia" w:eastAsia="微软雅黑"/>
          <w:b/>
          <w:bCs w:val="0"/>
          <w:color w:val="auto"/>
          <w:lang w:val="en-US" w:eastAsia="zh-CN"/>
        </w:rPr>
        <w:t xml:space="preserve"> </w:t>
      </w:r>
      <w:r>
        <w:rPr>
          <w:rStyle w:val="30"/>
          <w:rFonts w:hint="eastAsia"/>
          <w:b/>
          <w:bCs w:val="0"/>
          <w:color w:val="auto"/>
        </w:rPr>
        <w:t>保护规划</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bookmarkEnd w:id="142"/>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color w:val="auto"/>
        </w:rPr>
      </w:pPr>
      <w:bookmarkStart w:id="143" w:name="_Toc4290"/>
      <w:bookmarkEnd w:id="143"/>
      <w:bookmarkStart w:id="144" w:name="_Toc20529"/>
    </w:p>
    <w:bookmarkEnd w:id="144"/>
    <w:p>
      <w:pPr>
        <w:ind w:firstLine="560"/>
        <w:rPr>
          <w:color w:val="auto"/>
        </w:rPr>
      </w:pPr>
      <w:r>
        <w:rPr>
          <w:rFonts w:hint="eastAsia"/>
          <w:color w:val="auto"/>
        </w:rPr>
        <w:t>市人民政府组织编制历史文化名城保护规划</w:t>
      </w:r>
      <w:r>
        <w:rPr>
          <w:rFonts w:hint="eastAsia"/>
          <w:color w:val="auto"/>
          <w:lang w:eastAsia="zh-CN"/>
        </w:rPr>
        <w:t>、</w:t>
      </w:r>
      <w:r>
        <w:rPr>
          <w:rFonts w:hint="eastAsia"/>
          <w:color w:val="auto"/>
        </w:rPr>
        <w:t>历史文化街区</w:t>
      </w:r>
      <w:r>
        <w:rPr>
          <w:rFonts w:hint="eastAsia"/>
          <w:color w:val="auto"/>
          <w:lang w:val="en-US" w:eastAsia="zh-CN"/>
        </w:rPr>
        <w:t>保护规划</w:t>
      </w:r>
      <w:r>
        <w:rPr>
          <w:rFonts w:hint="eastAsia"/>
          <w:color w:val="auto"/>
        </w:rPr>
        <w:t>，经市国土空间规划委员会审议</w:t>
      </w:r>
      <w:r>
        <w:rPr>
          <w:rFonts w:hint="eastAsia"/>
          <w:color w:val="auto"/>
          <w:lang w:eastAsia="zh-CN"/>
        </w:rPr>
        <w:t>，</w:t>
      </w:r>
      <w:r>
        <w:rPr>
          <w:rFonts w:hint="eastAsia"/>
          <w:color w:val="auto"/>
          <w:lang w:val="en-US" w:eastAsia="zh-CN"/>
        </w:rPr>
        <w:t>按程序报批后</w:t>
      </w:r>
      <w:r>
        <w:rPr>
          <w:rFonts w:hint="eastAsia"/>
          <w:color w:val="auto"/>
        </w:rPr>
        <w:t>备案</w:t>
      </w:r>
      <w:r>
        <w:rPr>
          <w:rFonts w:hint="eastAsia"/>
          <w:color w:val="auto"/>
          <w:lang w:eastAsia="zh-CN"/>
        </w:rPr>
        <w:t>、</w:t>
      </w:r>
      <w:r>
        <w:rPr>
          <w:rFonts w:hint="eastAsia"/>
          <w:color w:val="auto"/>
          <w:lang w:val="en-US" w:eastAsia="zh-CN"/>
        </w:rPr>
        <w:t>公布和组织实施</w:t>
      </w:r>
      <w:r>
        <w:rPr>
          <w:rFonts w:hint="eastAsia"/>
          <w:color w:val="auto"/>
        </w:rPr>
        <w:t>。</w:t>
      </w:r>
    </w:p>
    <w:p>
      <w:pPr>
        <w:ind w:firstLine="560"/>
        <w:rPr>
          <w:color w:val="auto"/>
        </w:rPr>
      </w:pPr>
      <w:r>
        <w:rPr>
          <w:rFonts w:hint="eastAsia"/>
          <w:color w:val="auto"/>
        </w:rPr>
        <w:t>县（市、区）人民政府组织编制历史文化名城、名镇、名村保护规划</w:t>
      </w:r>
      <w:r>
        <w:rPr>
          <w:rFonts w:hint="eastAsia"/>
          <w:color w:val="auto"/>
          <w:lang w:eastAsia="zh-CN"/>
        </w:rPr>
        <w:t>、</w:t>
      </w:r>
      <w:r>
        <w:rPr>
          <w:rFonts w:hint="eastAsia"/>
          <w:color w:val="auto"/>
          <w:lang w:val="en-US" w:eastAsia="zh-CN"/>
        </w:rPr>
        <w:t>历史文化街区保护规划和传统村落保护发展规划</w:t>
      </w:r>
      <w:r>
        <w:rPr>
          <w:rFonts w:hint="eastAsia"/>
          <w:color w:val="auto"/>
        </w:rPr>
        <w:t>，经本级国土空间规划委员会审议，</w:t>
      </w:r>
      <w:r>
        <w:rPr>
          <w:rFonts w:hint="eastAsia"/>
          <w:color w:val="auto"/>
          <w:lang w:val="en-US" w:eastAsia="zh-CN"/>
        </w:rPr>
        <w:t>按程序</w:t>
      </w:r>
      <w:r>
        <w:rPr>
          <w:rFonts w:hint="eastAsia"/>
          <w:color w:val="auto"/>
        </w:rPr>
        <w:t>报批</w:t>
      </w:r>
      <w:r>
        <w:rPr>
          <w:rFonts w:hint="eastAsia"/>
          <w:color w:val="auto"/>
          <w:lang w:val="en-US" w:eastAsia="zh-CN"/>
        </w:rPr>
        <w:t>后</w:t>
      </w:r>
      <w:r>
        <w:rPr>
          <w:rFonts w:hint="eastAsia"/>
          <w:color w:val="auto"/>
        </w:rPr>
        <w:t>备案</w:t>
      </w:r>
      <w:r>
        <w:rPr>
          <w:rFonts w:hint="eastAsia"/>
          <w:color w:val="auto"/>
          <w:lang w:eastAsia="zh-CN"/>
        </w:rPr>
        <w:t>、</w:t>
      </w:r>
      <w:r>
        <w:rPr>
          <w:rFonts w:hint="eastAsia"/>
          <w:color w:val="auto"/>
        </w:rPr>
        <w:t>公布</w:t>
      </w:r>
      <w:r>
        <w:rPr>
          <w:rFonts w:hint="eastAsia"/>
          <w:color w:val="auto"/>
          <w:lang w:val="en-US" w:eastAsia="zh-CN"/>
        </w:rPr>
        <w:t>和组织实施</w:t>
      </w:r>
      <w:r>
        <w:rPr>
          <w:rFonts w:hint="eastAsia"/>
          <w:color w:val="auto"/>
        </w:rPr>
        <w:t>。</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Pr>
        <w:keepNext/>
        <w:keepLines/>
        <w:numPr>
          <w:ilvl w:val="0"/>
          <w:numId w:val="1"/>
        </w:numPr>
        <w:spacing w:before="86" w:beforeLines="20" w:after="86" w:afterLines="20" w:line="360" w:lineRule="auto"/>
        <w:ind w:left="0" w:firstLine="0" w:firstLineChars="0"/>
        <w:jc w:val="left"/>
        <w:outlineLvl w:val="1"/>
        <w:rPr>
          <w:bCs/>
          <w:color w:val="auto"/>
        </w:rPr>
      </w:pPr>
      <w:bookmarkStart w:id="145" w:name="_Toc26128"/>
      <w:bookmarkEnd w:id="145"/>
      <w:bookmarkStart w:id="146" w:name="_Toc14707"/>
    </w:p>
    <w:bookmarkEnd w:id="146"/>
    <w:p>
      <w:pPr>
        <w:ind w:firstLine="560"/>
        <w:rPr>
          <w:color w:val="auto"/>
        </w:rPr>
      </w:pPr>
      <w:r>
        <w:rPr>
          <w:rFonts w:hint="eastAsia"/>
          <w:color w:val="auto"/>
        </w:rPr>
        <w:t>本市历史文化名城保护规划应包括保护范围、总体目标、保护内容、保护要求、保障措施等。并明确下列</w:t>
      </w:r>
      <w:r>
        <w:rPr>
          <w:rFonts w:hint="eastAsia"/>
          <w:color w:val="auto"/>
          <w:highlight w:val="none"/>
        </w:rPr>
        <w:t>重点保护内容：</w:t>
      </w:r>
    </w:p>
    <w:p>
      <w:pPr>
        <w:ind w:firstLine="560"/>
        <w:rPr>
          <w:color w:val="auto"/>
        </w:rPr>
      </w:pPr>
      <w:r>
        <w:rPr>
          <w:rFonts w:hint="eastAsia"/>
          <w:color w:val="auto"/>
        </w:rPr>
        <w:t>（一）历史城区的传统格局和历史风貌，包括帽子峰、莲花山、芙蓉山、皇岗山等山体与武江、浈江、北江等水系与历史城区相融共依的城址环境和山水格局；</w:t>
      </w:r>
    </w:p>
    <w:p>
      <w:pPr>
        <w:ind w:firstLine="560"/>
        <w:rPr>
          <w:color w:val="auto"/>
        </w:rPr>
      </w:pPr>
      <w:r>
        <w:rPr>
          <w:rFonts w:hint="eastAsia"/>
          <w:color w:val="auto"/>
        </w:rPr>
        <w:t>（二）以风度路为骨架的传统城市轴线；</w:t>
      </w:r>
    </w:p>
    <w:p>
      <w:pPr>
        <w:ind w:firstLine="560"/>
        <w:rPr>
          <w:color w:val="auto"/>
        </w:rPr>
      </w:pPr>
      <w:r>
        <w:rPr>
          <w:rFonts w:hint="eastAsia"/>
          <w:color w:val="auto"/>
        </w:rPr>
        <w:t>（三）帽子峰等自然山体与韶阳楼、通天塔、大成殿等标志性建筑之间构成的景观视廊；</w:t>
      </w:r>
    </w:p>
    <w:p>
      <w:pPr>
        <w:ind w:firstLine="560"/>
        <w:rPr>
          <w:color w:val="auto"/>
        </w:rPr>
      </w:pPr>
      <w:r>
        <w:rPr>
          <w:rFonts w:hint="eastAsia"/>
          <w:color w:val="auto"/>
        </w:rPr>
        <w:t>（四</w:t>
      </w:r>
      <w:r>
        <w:rPr>
          <w:rFonts w:hint="eastAsia"/>
          <w:color w:val="auto"/>
          <w:highlight w:val="none"/>
        </w:rPr>
        <w:t>）广富新街及升平路、白土镇等历史文化街区</w:t>
      </w:r>
      <w:r>
        <w:rPr>
          <w:rFonts w:hint="eastAsia"/>
          <w:color w:val="auto"/>
        </w:rPr>
        <w:t>、历史地段；</w:t>
      </w:r>
    </w:p>
    <w:p>
      <w:pPr>
        <w:ind w:firstLine="560"/>
        <w:rPr>
          <w:color w:val="auto"/>
        </w:rPr>
      </w:pPr>
      <w:r>
        <w:rPr>
          <w:rFonts w:hint="eastAsia"/>
          <w:color w:val="auto"/>
        </w:rPr>
        <w:t>（五）珠玑镇历史文化名镇、石塘村等历史文化名村、国家级及省市级传统村落；</w:t>
      </w:r>
    </w:p>
    <w:p>
      <w:pPr>
        <w:ind w:firstLine="560"/>
        <w:rPr>
          <w:color w:val="auto"/>
        </w:rPr>
      </w:pPr>
      <w:r>
        <w:rPr>
          <w:rFonts w:hint="eastAsia"/>
          <w:color w:val="auto"/>
        </w:rPr>
        <w:t>（六）不可移动文物和历史建筑；</w:t>
      </w:r>
    </w:p>
    <w:p>
      <w:pPr>
        <w:ind w:firstLine="560"/>
        <w:rPr>
          <w:color w:val="auto"/>
        </w:rPr>
      </w:pPr>
      <w:r>
        <w:rPr>
          <w:rFonts w:hint="eastAsia"/>
          <w:color w:val="auto"/>
        </w:rPr>
        <w:t>（七）南粤古驿道、不可移动革命文物、红色革命遗址及工业遗产；</w:t>
      </w:r>
    </w:p>
    <w:p>
      <w:pPr>
        <w:ind w:firstLine="560"/>
        <w:rPr>
          <w:color w:val="auto"/>
        </w:rPr>
      </w:pPr>
      <w:r>
        <w:rPr>
          <w:rFonts w:hint="eastAsia"/>
          <w:color w:val="auto"/>
        </w:rPr>
        <w:t>（八）古树名木、武江、浈江、北江等历史水系及历史环境要素；</w:t>
      </w:r>
    </w:p>
    <w:p>
      <w:pPr>
        <w:ind w:firstLine="560"/>
        <w:rPr>
          <w:color w:val="auto"/>
        </w:rPr>
      </w:pPr>
      <w:r>
        <w:rPr>
          <w:rFonts w:hint="eastAsia"/>
          <w:color w:val="auto"/>
        </w:rPr>
        <w:t>（九）传统文化艺术、民俗风情、民间工艺等突出反映韶关历史文化特色的非物质文化遗产；</w:t>
      </w:r>
    </w:p>
    <w:p>
      <w:pPr>
        <w:ind w:firstLine="560"/>
        <w:rPr>
          <w:color w:val="auto"/>
        </w:rPr>
      </w:pPr>
      <w:r>
        <w:rPr>
          <w:rFonts w:hint="eastAsia"/>
          <w:color w:val="auto"/>
        </w:rPr>
        <w:t>（十）市人民政府确定的其他保护重点。</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147" w:name="_Toc25604"/>
      <w:bookmarkEnd w:id="147"/>
      <w:bookmarkStart w:id="148" w:name="_Toc6224"/>
    </w:p>
    <w:bookmarkEnd w:id="148"/>
    <w:p>
      <w:pPr>
        <w:ind w:firstLine="560"/>
        <w:rPr>
          <w:color w:val="auto"/>
        </w:rPr>
      </w:pPr>
      <w:r>
        <w:rPr>
          <w:rFonts w:hint="eastAsia"/>
          <w:color w:val="auto"/>
        </w:rPr>
        <w:t>历史文化名城保护和监督管理工作应当纳入</w:t>
      </w:r>
      <w:r>
        <w:rPr>
          <w:color w:val="auto"/>
        </w:rPr>
        <w:t>国民经济和社会发展规划</w:t>
      </w:r>
      <w:r>
        <w:rPr>
          <w:rFonts w:hint="eastAsia"/>
          <w:color w:val="auto"/>
        </w:rPr>
        <w:t>。</w:t>
      </w:r>
    </w:p>
    <w:p>
      <w:pPr>
        <w:ind w:firstLine="560"/>
        <w:rPr>
          <w:color w:val="auto"/>
        </w:rPr>
      </w:pPr>
      <w:r>
        <w:rPr>
          <w:rFonts w:hint="eastAsia"/>
          <w:color w:val="auto"/>
        </w:rPr>
        <w:t>保护规划涉及空间管控的相关规划成果纳入国土空间总体规划、国土空间详细规划等。历史文化名村保护规划应当与村庄规划的范围一致。</w:t>
      </w:r>
    </w:p>
    <w:p>
      <w:pPr>
        <w:ind w:firstLine="560"/>
        <w:rPr>
          <w:color w:val="auto"/>
        </w:rPr>
      </w:pPr>
      <w:r>
        <w:rPr>
          <w:rFonts w:hint="eastAsia"/>
          <w:color w:val="auto"/>
        </w:rPr>
        <w:t>历史文化街区、历史文化名镇、历史文化名村、历史建筑和历史地段</w:t>
      </w:r>
      <w:r>
        <w:rPr>
          <w:rFonts w:hint="eastAsia"/>
          <w:color w:val="auto"/>
          <w:highlight w:val="none"/>
        </w:rPr>
        <w:t>的核心保护范围和建设控制地带的控制性</w:t>
      </w:r>
      <w:r>
        <w:rPr>
          <w:rFonts w:hint="eastAsia"/>
          <w:color w:val="auto"/>
        </w:rPr>
        <w:t>详细规划和村庄规划应当符合经批准的保护规划。</w:t>
      </w:r>
    </w:p>
    <w:p>
      <w:pPr>
        <w:ind w:firstLine="560"/>
        <w:rPr>
          <w:color w:val="auto"/>
        </w:rPr>
      </w:pPr>
      <w:r>
        <w:rPr>
          <w:rFonts w:hint="eastAsia"/>
          <w:color w:val="auto"/>
        </w:rPr>
        <w:t>交通、市政、绿化、消防、人防等其他专业规划应当与保护规划相协调。</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149" w:name="_Toc6661"/>
      <w:bookmarkEnd w:id="149"/>
      <w:bookmarkStart w:id="150" w:name="_Toc24336"/>
    </w:p>
    <w:bookmarkEnd w:id="150"/>
    <w:p>
      <w:pPr>
        <w:ind w:firstLine="560"/>
        <w:rPr>
          <w:color w:val="auto"/>
        </w:rPr>
      </w:pPr>
      <w:r>
        <w:rPr>
          <w:rFonts w:hint="eastAsia"/>
          <w:color w:val="auto"/>
        </w:rPr>
        <w:t>保护规划报送审批前，组织编制机关应当依法公示保护规划草案，充分征求有关部门和公众的意见，并组织专家进行论证；必要时，可以举行听证。保护规划草案公示时间不得少于三十日。</w:t>
      </w:r>
    </w:p>
    <w:p>
      <w:pPr>
        <w:ind w:firstLine="560"/>
        <w:rPr>
          <w:color w:val="auto"/>
        </w:rPr>
      </w:pPr>
      <w:r>
        <w:rPr>
          <w:rFonts w:hint="eastAsia"/>
          <w:color w:val="auto"/>
        </w:rPr>
        <w:t>保护规划应当自批准之日起三十日内，在政府网站、新闻媒体或者专门场所公告，并在政府网站长期公布。历史文化名村及传统村落保护规划的主要内容应当由村民委员会保存一份文本并在村庄公共场所公布，以供村民查阅咨询。</w:t>
      </w:r>
    </w:p>
    <w:p>
      <w:pPr>
        <w:ind w:firstLine="560"/>
        <w:rPr>
          <w:color w:val="auto"/>
        </w:rPr>
      </w:pPr>
      <w:r>
        <w:rPr>
          <w:rFonts w:hint="eastAsia"/>
          <w:color w:val="auto"/>
        </w:rPr>
        <w:t>未经公布的保护规划，不作为规划管理和城乡建设的依据。</w:t>
      </w:r>
    </w:p>
    <w:p>
      <w:pPr>
        <w:keepNext/>
        <w:keepLines/>
        <w:numPr>
          <w:ilvl w:val="0"/>
          <w:numId w:val="1"/>
        </w:numPr>
        <w:spacing w:before="86" w:beforeLines="20" w:after="86" w:afterLines="20" w:line="360" w:lineRule="auto"/>
        <w:ind w:left="0" w:firstLine="0" w:firstLineChars="0"/>
        <w:jc w:val="left"/>
        <w:outlineLvl w:val="1"/>
        <w:rPr>
          <w:rStyle w:val="32"/>
          <w:color w:val="auto"/>
        </w:rPr>
      </w:pPr>
      <w:bookmarkStart w:id="151" w:name="_Toc11291"/>
      <w:bookmarkEnd w:id="151"/>
      <w:bookmarkStart w:id="152" w:name="_Toc8439"/>
    </w:p>
    <w:bookmarkEnd w:id="152"/>
    <w:p>
      <w:pPr>
        <w:ind w:firstLine="560"/>
        <w:rPr>
          <w:color w:val="auto"/>
        </w:rPr>
      </w:pPr>
      <w:r>
        <w:rPr>
          <w:rFonts w:hint="eastAsia"/>
          <w:color w:val="auto"/>
        </w:rPr>
        <w:t>县（市、区）人民政府应当根据经批准的保护规划，制定保护与利用保护对象的具体实施方案，明确工作任务，落实实施主体和具体措施，推动保护规划实施。</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153" w:name="_Toc20095"/>
      <w:bookmarkEnd w:id="153"/>
      <w:bookmarkStart w:id="154" w:name="_Toc9851"/>
    </w:p>
    <w:bookmarkEnd w:id="154"/>
    <w:p>
      <w:pPr>
        <w:ind w:firstLine="560"/>
        <w:rPr>
          <w:color w:val="auto"/>
        </w:rPr>
      </w:pPr>
      <w:r>
        <w:rPr>
          <w:rFonts w:hint="eastAsia"/>
          <w:color w:val="auto"/>
        </w:rPr>
        <w:t>历史文化名城、名镇、街区保护规划的编制，应当由具有甲级资质的城乡规划编制单位承担。</w:t>
      </w:r>
    </w:p>
    <w:p>
      <w:pPr>
        <w:ind w:firstLine="560"/>
        <w:rPr>
          <w:color w:val="auto"/>
        </w:rPr>
      </w:pPr>
      <w:r>
        <w:rPr>
          <w:rFonts w:hint="eastAsia"/>
          <w:color w:val="auto"/>
        </w:rPr>
        <w:t>历史文化名村保护规划的编制，应当由具有乙级及以上资质的城乡规划编制单位承担。</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155" w:name="_Toc16014"/>
      <w:bookmarkEnd w:id="155"/>
      <w:bookmarkStart w:id="156" w:name="_Toc19253"/>
    </w:p>
    <w:bookmarkEnd w:id="156"/>
    <w:p>
      <w:pPr>
        <w:ind w:firstLine="560"/>
        <w:rPr>
          <w:color w:val="auto"/>
        </w:rPr>
      </w:pPr>
      <w:r>
        <w:rPr>
          <w:rFonts w:hint="eastAsia"/>
          <w:color w:val="auto"/>
        </w:rPr>
        <w:t>经依法批准的保护规划，不得擅自修改。确需修改的，由原组织编制机关提出专题报告，经原审批机关批准后按照原编制、审批程序修改、报批后实施。</w:t>
      </w:r>
    </w:p>
    <w:p>
      <w:pPr>
        <w:ind w:firstLine="560"/>
        <w:rPr>
          <w:color w:val="auto"/>
        </w:rPr>
      </w:pPr>
      <w:r>
        <w:rPr>
          <w:rFonts w:hint="eastAsia"/>
          <w:color w:val="auto"/>
        </w:rPr>
        <w:t>保护对象从保护名录中撤销的，保护规划中相应的保护要求及保护措施等内容自行失效。</w:t>
      </w:r>
    </w:p>
    <w:p>
      <w:pPr>
        <w:pStyle w:val="2"/>
        <w:rPr>
          <w:rStyle w:val="30"/>
          <w:b/>
          <w:bCs w:val="0"/>
          <w:color w:val="auto"/>
        </w:rPr>
      </w:pPr>
      <w:bookmarkStart w:id="157" w:name="_Toc11846"/>
      <w:bookmarkStart w:id="158" w:name="_Toc12831"/>
      <w:bookmarkStart w:id="159" w:name="_Toc21539"/>
      <w:bookmarkStart w:id="160" w:name="_Toc18994"/>
      <w:bookmarkStart w:id="161" w:name="_Toc13648"/>
      <w:bookmarkStart w:id="162" w:name="_Toc3617"/>
      <w:bookmarkStart w:id="163" w:name="_Toc31511"/>
      <w:bookmarkStart w:id="164" w:name="_Toc28168"/>
      <w:bookmarkStart w:id="165" w:name="_Toc6363"/>
      <w:bookmarkStart w:id="166" w:name="_Toc23"/>
      <w:bookmarkStart w:id="167" w:name="_Toc22858"/>
      <w:bookmarkStart w:id="168" w:name="_Toc19970"/>
      <w:bookmarkStart w:id="169" w:name="_Toc23916"/>
      <w:bookmarkStart w:id="170" w:name="_Toc20777"/>
      <w:bookmarkStart w:id="171" w:name="_Toc19468"/>
      <w:bookmarkStart w:id="172" w:name="_Toc29660"/>
      <w:bookmarkStart w:id="173" w:name="_Toc25362"/>
      <w:bookmarkStart w:id="174" w:name="_Toc11543"/>
      <w:bookmarkStart w:id="175" w:name="_Toc1836"/>
      <w:bookmarkStart w:id="176" w:name="_Toc23276"/>
      <w:bookmarkStart w:id="177" w:name="_Toc28652"/>
      <w:bookmarkStart w:id="178" w:name="_Toc21895"/>
      <w:bookmarkStart w:id="179" w:name="_Toc6910"/>
      <w:bookmarkStart w:id="180" w:name="_Toc694"/>
      <w:bookmarkStart w:id="181" w:name="_Toc24254"/>
      <w:bookmarkStart w:id="182" w:name="_Toc14439"/>
      <w:bookmarkStart w:id="183" w:name="_Toc6835"/>
      <w:bookmarkStart w:id="184" w:name="_Toc19570"/>
      <w:bookmarkStart w:id="185" w:name="_Toc1309"/>
      <w:bookmarkStart w:id="186" w:name="_Toc12289"/>
      <w:bookmarkStart w:id="187" w:name="_Toc26088"/>
      <w:bookmarkStart w:id="188" w:name="_Toc21931"/>
      <w:bookmarkStart w:id="189" w:name="_Toc28425"/>
      <w:bookmarkStart w:id="190" w:name="_Toc20494"/>
      <w:bookmarkStart w:id="191" w:name="_Toc7398"/>
      <w:bookmarkStart w:id="192" w:name="_Toc16752"/>
      <w:bookmarkStart w:id="193" w:name="_Toc13500"/>
      <w:bookmarkStart w:id="194" w:name="_Toc12452"/>
      <w:bookmarkStart w:id="195" w:name="_Toc7869"/>
      <w:bookmarkStart w:id="196" w:name="_Toc1716"/>
      <w:r>
        <w:rPr>
          <w:rStyle w:val="30"/>
          <w:rFonts w:hint="eastAsia"/>
          <w:b/>
          <w:bCs w:val="0"/>
          <w:color w:val="auto"/>
        </w:rPr>
        <w:t>第四章</w:t>
      </w:r>
      <w:r>
        <w:rPr>
          <w:rStyle w:val="30"/>
          <w:rFonts w:hint="eastAsia"/>
          <w:b/>
          <w:bCs w:val="0"/>
          <w:color w:val="auto"/>
          <w:lang w:val="en-US" w:eastAsia="zh-CN"/>
        </w:rPr>
        <w:t xml:space="preserve"> </w:t>
      </w:r>
      <w:r>
        <w:rPr>
          <w:rStyle w:val="30"/>
          <w:rFonts w:hint="eastAsia"/>
          <w:b/>
          <w:bCs w:val="0"/>
          <w:color w:val="auto"/>
        </w:rPr>
        <w:t>保护</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Style w:val="30"/>
          <w:rFonts w:hint="eastAsia"/>
          <w:b/>
          <w:bCs w:val="0"/>
          <w:color w:val="auto"/>
        </w:rPr>
        <w:t>措施</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color w:val="auto"/>
        </w:rPr>
      </w:pPr>
      <w:bookmarkStart w:id="197" w:name="_Toc22512"/>
      <w:bookmarkEnd w:id="197"/>
    </w:p>
    <w:p>
      <w:pPr>
        <w:ind w:firstLine="560"/>
        <w:rPr>
          <w:color w:val="auto"/>
        </w:rPr>
      </w:pPr>
      <w:r>
        <w:rPr>
          <w:rFonts w:hint="eastAsia"/>
          <w:color w:val="auto"/>
        </w:rPr>
        <w:t>市、县（市、区）人民政府应当按照下列规定确定历史文化街区、历史地段、历史文化名镇、历史文化名村和传统村落的保护责任人，并向社会公布：</w:t>
      </w:r>
    </w:p>
    <w:p>
      <w:pPr>
        <w:ind w:firstLine="560"/>
        <w:rPr>
          <w:color w:val="auto"/>
        </w:rPr>
      </w:pPr>
      <w:r>
        <w:rPr>
          <w:rFonts w:hint="eastAsia"/>
          <w:color w:val="auto"/>
        </w:rPr>
        <w:t>（一）历史文化街区、历史地段和历史文化名镇所在地乡镇人民政府、街道办事处为保护责任人；</w:t>
      </w:r>
    </w:p>
    <w:p>
      <w:pPr>
        <w:ind w:firstLine="560"/>
        <w:rPr>
          <w:color w:val="auto"/>
        </w:rPr>
      </w:pPr>
      <w:r>
        <w:rPr>
          <w:rFonts w:hint="eastAsia"/>
          <w:color w:val="auto"/>
        </w:rPr>
        <w:t>（二）历史文化名村、传统村落所在地的村（居）民委员会为保护责任人；</w:t>
      </w:r>
    </w:p>
    <w:p>
      <w:pPr>
        <w:ind w:firstLine="560"/>
        <w:rPr>
          <w:color w:val="auto"/>
        </w:rPr>
      </w:pPr>
      <w:r>
        <w:rPr>
          <w:rFonts w:hint="eastAsia"/>
          <w:color w:val="auto"/>
        </w:rPr>
        <w:t>（三）市、县（市、区）人民政府设立保护对象的保护管理组织的，该组织为保护责任人；</w:t>
      </w:r>
    </w:p>
    <w:p>
      <w:pPr>
        <w:ind w:firstLine="560"/>
        <w:rPr>
          <w:color w:val="auto"/>
        </w:rPr>
      </w:pPr>
      <w:r>
        <w:rPr>
          <w:rFonts w:hint="eastAsia"/>
          <w:color w:val="auto"/>
        </w:rPr>
        <w:t>（四）保护对象跨行政范围的，由共同上一级人民政府指定保护责任人；</w:t>
      </w:r>
    </w:p>
    <w:p>
      <w:pPr>
        <w:ind w:firstLine="560"/>
        <w:rPr>
          <w:color w:val="auto"/>
        </w:rPr>
      </w:pPr>
      <w:r>
        <w:rPr>
          <w:rFonts w:hint="eastAsia"/>
          <w:color w:val="auto"/>
        </w:rPr>
        <w:t>（</w:t>
      </w:r>
      <w:r>
        <w:rPr>
          <w:rFonts w:hint="eastAsia"/>
          <w:color w:val="auto"/>
          <w:lang w:eastAsia="zh-CN"/>
        </w:rPr>
        <w:t>五</w:t>
      </w:r>
      <w:r>
        <w:rPr>
          <w:rFonts w:hint="eastAsia"/>
          <w:color w:val="auto"/>
        </w:rPr>
        <w:t>）无法确定保护责任人的，由县（市、区）人民政府指定。</w:t>
      </w:r>
    </w:p>
    <w:p>
      <w:pPr>
        <w:ind w:firstLine="560"/>
        <w:rPr>
          <w:color w:val="auto"/>
        </w:rPr>
      </w:pPr>
      <w:r>
        <w:rPr>
          <w:rFonts w:hint="eastAsia"/>
          <w:color w:val="auto"/>
        </w:rPr>
        <w:t>历史文化街区、历史地段、历史文化名镇、历史文化名村和传统村落所在地县（市、区）人民政府，应当将具体保护要求书面告知保护责任人。</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198" w:name="_Toc27625"/>
      <w:bookmarkEnd w:id="198"/>
      <w:bookmarkStart w:id="199" w:name="_Toc28352"/>
    </w:p>
    <w:bookmarkEnd w:id="199"/>
    <w:p>
      <w:pPr>
        <w:ind w:firstLine="560"/>
        <w:rPr>
          <w:color w:val="auto"/>
        </w:rPr>
      </w:pPr>
      <w:r>
        <w:rPr>
          <w:rFonts w:hint="eastAsia"/>
          <w:color w:val="auto"/>
        </w:rPr>
        <w:t>历史文化街区、历史文化名镇、历史文化名村、历史地段、传统村落的保护责任人应当按照保护规划和下列要求履行保护责任：</w:t>
      </w:r>
    </w:p>
    <w:p>
      <w:pPr>
        <w:ind w:firstLine="560"/>
        <w:rPr>
          <w:color w:val="auto"/>
        </w:rPr>
      </w:pPr>
      <w:r>
        <w:rPr>
          <w:rFonts w:hint="eastAsia"/>
          <w:color w:val="auto"/>
        </w:rPr>
        <w:t>（一）保持保护范围内建筑物、构筑物的传统格局、历史风貌、特色装饰、空间尺度和历史环境要素的完整性；</w:t>
      </w:r>
    </w:p>
    <w:p>
      <w:pPr>
        <w:ind w:firstLine="560"/>
        <w:rPr>
          <w:color w:val="auto"/>
        </w:rPr>
      </w:pPr>
      <w:r>
        <w:rPr>
          <w:rFonts w:hint="eastAsia"/>
          <w:color w:val="auto"/>
        </w:rPr>
        <w:t>（二）开展日常巡查，发现危害历史文化名城保护对象的行为的及时制止，并告知相关行政管理部门；</w:t>
      </w:r>
    </w:p>
    <w:p>
      <w:pPr>
        <w:ind w:firstLine="560"/>
        <w:rPr>
          <w:color w:val="auto"/>
        </w:rPr>
      </w:pPr>
      <w:r>
        <w:rPr>
          <w:rFonts w:hint="eastAsia"/>
          <w:color w:val="auto"/>
        </w:rPr>
        <w:t>（三）保持保护范围内整洁美观；</w:t>
      </w:r>
    </w:p>
    <w:p>
      <w:pPr>
        <w:ind w:firstLine="560"/>
        <w:rPr>
          <w:color w:val="auto"/>
        </w:rPr>
      </w:pPr>
      <w:r>
        <w:rPr>
          <w:rFonts w:hint="eastAsia"/>
          <w:color w:val="auto"/>
        </w:rPr>
        <w:t>（四）协助有关部门确保消防、防灾等公共设施、设备的正常使用；</w:t>
      </w:r>
    </w:p>
    <w:p>
      <w:pPr>
        <w:ind w:firstLine="560"/>
        <w:rPr>
          <w:color w:val="auto"/>
        </w:rPr>
      </w:pPr>
      <w:r>
        <w:rPr>
          <w:rFonts w:hint="eastAsia"/>
          <w:color w:val="auto"/>
        </w:rPr>
        <w:t>（五）本办法规定和市、区人民政府确定的其他要求。</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200" w:name="_Toc19158"/>
      <w:bookmarkEnd w:id="200"/>
      <w:bookmarkStart w:id="201" w:name="_Toc3189"/>
    </w:p>
    <w:bookmarkEnd w:id="201"/>
    <w:p>
      <w:pPr>
        <w:ind w:firstLine="560"/>
        <w:rPr>
          <w:color w:val="auto"/>
        </w:rPr>
      </w:pPr>
      <w:r>
        <w:rPr>
          <w:rFonts w:hint="eastAsia"/>
          <w:color w:val="auto"/>
        </w:rPr>
        <w:t>历史文化名城应该加强消防管理，坚持按照有关消防技术标准和规范设置消防设施、消防通道等基础设施。因保护的需要无法达到规定标准和规范的，县（市、区）消防救援机构应会同同级</w:t>
      </w:r>
      <w:r>
        <w:rPr>
          <w:rFonts w:hint="eastAsia"/>
          <w:color w:val="auto"/>
          <w:lang w:eastAsia="zh-CN"/>
        </w:rPr>
        <w:t>住房和城乡建设</w:t>
      </w:r>
      <w:r>
        <w:rPr>
          <w:rFonts w:hint="eastAsia"/>
          <w:color w:val="auto"/>
        </w:rPr>
        <w:t>、文物主管部门制定相应的防火安全保障方案。历史文化名城内应当依托微型消防站建立消防专职队伍或消防志愿队，承担历史文化名城的火灾扑救工作。</w:t>
      </w:r>
    </w:p>
    <w:p>
      <w:pPr>
        <w:ind w:firstLine="560"/>
        <w:rPr>
          <w:color w:val="auto"/>
        </w:rPr>
      </w:pPr>
      <w:r>
        <w:rPr>
          <w:rFonts w:hint="eastAsia"/>
          <w:color w:val="auto"/>
        </w:rPr>
        <w:t>历史文化名城保护需明确消防安全的管理职责，落实消防管理，开展日常消防监督检查和每日的防火巡查。</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202" w:name="_Toc23795"/>
      <w:bookmarkEnd w:id="202"/>
      <w:bookmarkStart w:id="203" w:name="_Toc1468"/>
    </w:p>
    <w:bookmarkEnd w:id="203"/>
    <w:p>
      <w:pPr>
        <w:ind w:firstLine="560"/>
        <w:rPr>
          <w:color w:val="auto"/>
        </w:rPr>
      </w:pPr>
      <w:r>
        <w:rPr>
          <w:rFonts w:hint="eastAsia"/>
          <w:color w:val="auto"/>
        </w:rPr>
        <w:t>历史文化名城应当注重整体保护，保持和延续与其相互依存的自然景观和环境。在历史城区内以及历史文化街区、历史文化名镇、历史文化名村、历史建筑、历史地段和传统村落的核心保护范围以及建设控制地带内进行建设活动，应当符合保护规划，并依法取得自然资源主管部门的批准。自然资源主管部门核发建设工程规划许可证、乡村建设规划许可证前应当征求同级文物主管部门的意见。未经依法批准，不得擅自开工建设，同时遵守下列要求：</w:t>
      </w:r>
    </w:p>
    <w:p>
      <w:pPr>
        <w:ind w:firstLine="560"/>
        <w:rPr>
          <w:color w:val="auto"/>
        </w:rPr>
      </w:pPr>
      <w:r>
        <w:rPr>
          <w:rFonts w:hint="eastAsia"/>
          <w:color w:val="auto"/>
        </w:rPr>
        <w:t>（一）在历史文化街区、历史文化名镇和历史文化名村的核心保护范围内，除建设必要基础设施和公益性公共服务设施外，不得进行新建、扩建活动；</w:t>
      </w:r>
    </w:p>
    <w:p>
      <w:pPr>
        <w:ind w:firstLine="560"/>
        <w:rPr>
          <w:color w:val="auto"/>
        </w:rPr>
      </w:pPr>
      <w:r>
        <w:rPr>
          <w:rFonts w:hint="eastAsia"/>
          <w:color w:val="auto"/>
        </w:rPr>
        <w:t>（二）在历史地段、传统村落的核心保护范围内进行新建、改建、扩建等建设活动，在使用性质、高度、体量、立面、材料、色彩等方面与历史风貌相协调，不得改变传统格局和历史风貌，不得危及核心保护范围内的建筑安全；</w:t>
      </w:r>
    </w:p>
    <w:p>
      <w:pPr>
        <w:ind w:firstLine="560"/>
        <w:rPr>
          <w:color w:val="auto"/>
        </w:rPr>
      </w:pPr>
      <w:r>
        <w:rPr>
          <w:rFonts w:hint="eastAsia"/>
          <w:color w:val="auto"/>
        </w:rPr>
        <w:t>（三）不得新建污染环境的设施，本法实施前已经存在的污染环境的设施和企业等应当限期搬迁或者治理；</w:t>
      </w:r>
    </w:p>
    <w:p>
      <w:pPr>
        <w:ind w:firstLine="560"/>
        <w:rPr>
          <w:color w:val="auto"/>
        </w:rPr>
      </w:pPr>
      <w:r>
        <w:rPr>
          <w:rFonts w:hint="eastAsia"/>
          <w:color w:val="auto"/>
        </w:rPr>
        <w:t>（四）修建道路、地下工程以及其他市政公用设施的，应当保持或者恢复传统格局和空间环境，并采取有效的保护措施，不得损害保护对象；</w:t>
      </w:r>
    </w:p>
    <w:p>
      <w:pPr>
        <w:ind w:firstLine="560"/>
        <w:rPr>
          <w:color w:val="auto"/>
        </w:rPr>
      </w:pPr>
      <w:r>
        <w:rPr>
          <w:rFonts w:hint="eastAsia"/>
          <w:color w:val="auto"/>
        </w:rPr>
        <w:t>（五）设置户外广告、招牌等外部设施的，应当符合保护规划；</w:t>
      </w:r>
    </w:p>
    <w:p>
      <w:pPr>
        <w:ind w:firstLine="560"/>
        <w:rPr>
          <w:color w:val="auto"/>
        </w:rPr>
      </w:pPr>
      <w:r>
        <w:rPr>
          <w:rFonts w:hint="eastAsia"/>
          <w:color w:val="auto"/>
        </w:rPr>
        <w:t>（六）拆除核心保护范围内的建筑物、构筑物或者其他设施的，应当</w:t>
      </w:r>
      <w:r>
        <w:rPr>
          <w:rFonts w:hint="eastAsia"/>
          <w:color w:val="auto"/>
          <w:lang w:val="en-US" w:eastAsia="zh-CN"/>
        </w:rPr>
        <w:t>依法</w:t>
      </w:r>
      <w:r>
        <w:rPr>
          <w:rFonts w:hint="eastAsia"/>
          <w:color w:val="auto"/>
        </w:rPr>
        <w:t>经自然资源主管部门会同同级</w:t>
      </w:r>
      <w:r>
        <w:rPr>
          <w:rFonts w:hint="eastAsia"/>
          <w:color w:val="auto"/>
          <w:lang w:eastAsia="zh-CN"/>
        </w:rPr>
        <w:t>住房和城乡建设</w:t>
      </w:r>
      <w:r>
        <w:rPr>
          <w:rFonts w:hint="eastAsia"/>
          <w:color w:val="auto"/>
        </w:rPr>
        <w:t>、文物主管部门批准。</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204" w:name="_Toc23454"/>
      <w:bookmarkEnd w:id="204"/>
      <w:bookmarkStart w:id="205" w:name="_Toc29733"/>
      <w:bookmarkStart w:id="206" w:name="_Toc24071"/>
      <w:bookmarkStart w:id="207" w:name="_Toc7892"/>
      <w:bookmarkStart w:id="208" w:name="_Toc11074"/>
      <w:bookmarkStart w:id="209" w:name="_Toc24668"/>
      <w:bookmarkStart w:id="210" w:name="_Toc30728"/>
      <w:bookmarkStart w:id="211" w:name="_Toc7202"/>
      <w:bookmarkStart w:id="212" w:name="_Toc18882"/>
      <w:bookmarkStart w:id="213" w:name="_Toc24649"/>
      <w:bookmarkStart w:id="214" w:name="_Toc3737"/>
      <w:bookmarkStart w:id="215" w:name="_Toc16995"/>
      <w:bookmarkStart w:id="216" w:name="_Toc8567"/>
      <w:bookmarkStart w:id="217" w:name="_Toc12900"/>
      <w:bookmarkStart w:id="218" w:name="_Toc2258"/>
      <w:bookmarkStart w:id="219" w:name="_Toc3916"/>
      <w:bookmarkStart w:id="220" w:name="_Toc31801"/>
      <w:bookmarkStart w:id="221" w:name="_Toc20759"/>
      <w:bookmarkStart w:id="222" w:name="_Toc19302"/>
      <w:bookmarkStart w:id="223" w:name="_Toc27482"/>
    </w:p>
    <w:bookmarkEnd w:id="205"/>
    <w:p>
      <w:pPr>
        <w:ind w:firstLine="560"/>
        <w:rPr>
          <w:color w:val="auto"/>
        </w:rPr>
      </w:pPr>
      <w:r>
        <w:rPr>
          <w:rFonts w:hint="eastAsia"/>
          <w:color w:val="auto"/>
        </w:rPr>
        <w:t>在历史城区内以及历史文化街区、历史文化名镇、历史文化名村、历史地段和传统村落的核心保护范围和建设控制地带内，禁止进行下列活动：</w:t>
      </w:r>
    </w:p>
    <w:p>
      <w:pPr>
        <w:ind w:firstLine="560"/>
        <w:rPr>
          <w:color w:val="auto"/>
        </w:rPr>
      </w:pPr>
      <w:r>
        <w:rPr>
          <w:rFonts w:hint="eastAsia"/>
          <w:color w:val="auto"/>
        </w:rPr>
        <w:t>（一）擅自开山、采石、开矿、取土、挖沙、围填水面、抽取地下水等破坏传统格局和历史风貌的活动；</w:t>
      </w:r>
    </w:p>
    <w:p>
      <w:pPr>
        <w:ind w:firstLine="560"/>
        <w:rPr>
          <w:color w:val="auto"/>
        </w:rPr>
      </w:pPr>
      <w:r>
        <w:rPr>
          <w:rFonts w:hint="eastAsia"/>
          <w:color w:val="auto"/>
        </w:rPr>
        <w:t>（二）占用园林绿地、河湖水系、传统街巷、道路等；</w:t>
      </w:r>
    </w:p>
    <w:p>
      <w:pPr>
        <w:ind w:firstLine="560"/>
        <w:rPr>
          <w:color w:val="auto"/>
        </w:rPr>
      </w:pPr>
      <w:r>
        <w:rPr>
          <w:rFonts w:hint="eastAsia"/>
          <w:color w:val="auto"/>
        </w:rPr>
        <w:t>（三）修建生产和储存爆炸性、易燃性、放射性、毒害性、腐蚀性物品的工厂、仓库等等损害传统格局和历史风貌的建筑物、构筑物或者其他设施；</w:t>
      </w:r>
    </w:p>
    <w:p>
      <w:pPr>
        <w:ind w:firstLine="560"/>
        <w:rPr>
          <w:color w:val="auto"/>
        </w:rPr>
      </w:pPr>
      <w:r>
        <w:rPr>
          <w:rFonts w:hint="eastAsia"/>
          <w:color w:val="auto"/>
        </w:rPr>
        <w:t>（四）其他可能破坏传统格局、历史风貌的活动。</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224" w:name="_Toc15239"/>
      <w:bookmarkEnd w:id="224"/>
      <w:bookmarkStart w:id="225" w:name="_Toc26076"/>
    </w:p>
    <w:bookmarkEnd w:id="225"/>
    <w:p>
      <w:pPr>
        <w:ind w:firstLine="560"/>
        <w:rPr>
          <w:color w:val="auto"/>
        </w:rPr>
      </w:pPr>
      <w:r>
        <w:rPr>
          <w:rFonts w:hint="eastAsia"/>
          <w:color w:val="auto"/>
        </w:rPr>
        <w:t>体现韶关历史文化内涵的传统地名应当予以保留或者恢复，任何单位和个人不得擅自更改或者取消。确需更名的，市民政</w:t>
      </w:r>
      <w:r>
        <w:rPr>
          <w:rFonts w:hint="eastAsia"/>
          <w:color w:val="auto"/>
          <w:lang w:eastAsia="zh-CN"/>
        </w:rPr>
        <w:t>主管</w:t>
      </w:r>
      <w:r>
        <w:rPr>
          <w:rFonts w:hint="eastAsia"/>
          <w:color w:val="auto"/>
        </w:rPr>
        <w:t>部门应当在征求有关部门、专家和公众意见后，按照规定程序报批。</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color w:val="auto"/>
        </w:rPr>
      </w:pPr>
      <w:bookmarkStart w:id="226" w:name="_Toc22334"/>
      <w:bookmarkEnd w:id="226"/>
    </w:p>
    <w:p>
      <w:pPr>
        <w:ind w:firstLine="560"/>
        <w:rPr>
          <w:color w:val="auto"/>
        </w:rPr>
      </w:pPr>
      <w:r>
        <w:rPr>
          <w:rFonts w:hint="eastAsia"/>
          <w:color w:val="auto"/>
        </w:rPr>
        <w:t>列入保护名录的保护对象，应当设置保护标志。</w:t>
      </w:r>
    </w:p>
    <w:p>
      <w:pPr>
        <w:ind w:firstLine="560"/>
        <w:rPr>
          <w:color w:val="auto"/>
        </w:rPr>
      </w:pPr>
      <w:r>
        <w:rPr>
          <w:rFonts w:hint="eastAsia"/>
          <w:color w:val="auto"/>
        </w:rPr>
        <w:t>保护标志应当载明保护对象的名称、编号、区位、建成时间、文化信息等内容。</w:t>
      </w:r>
    </w:p>
    <w:p>
      <w:pPr>
        <w:ind w:firstLine="560"/>
        <w:rPr>
          <w:color w:val="auto"/>
        </w:rPr>
      </w:pPr>
      <w:r>
        <w:rPr>
          <w:rFonts w:hint="eastAsia"/>
          <w:color w:val="auto"/>
        </w:rPr>
        <w:t>保护标志的样式如国家和省有规定要求的，从其规定；没有规定要求的由市人民政府统一样式，县（市、区）人民政府组织设置。</w:t>
      </w:r>
    </w:p>
    <w:p>
      <w:pPr>
        <w:ind w:firstLine="560"/>
        <w:rPr>
          <w:color w:val="auto"/>
        </w:rPr>
      </w:pPr>
      <w:r>
        <w:rPr>
          <w:rFonts w:hint="eastAsia"/>
          <w:color w:val="auto"/>
        </w:rPr>
        <w:t>保护标志应当在纳入保护名录后六个月内设置完毕。</w:t>
      </w:r>
    </w:p>
    <w:p>
      <w:pPr>
        <w:ind w:firstLine="560"/>
        <w:rPr>
          <w:color w:val="auto"/>
        </w:rPr>
      </w:pPr>
      <w:r>
        <w:rPr>
          <w:rFonts w:hint="eastAsia"/>
          <w:color w:val="auto"/>
        </w:rPr>
        <w:t>任何单位和个人不得擅自设置、移动、遮挡、涂改、损毁或者拆除保护标志。</w:t>
      </w:r>
    </w:p>
    <w:p>
      <w:pPr>
        <w:pStyle w:val="2"/>
        <w:rPr>
          <w:color w:val="auto"/>
        </w:rPr>
      </w:pPr>
      <w:bookmarkStart w:id="227" w:name="_Toc31788"/>
      <w:bookmarkStart w:id="228" w:name="_Toc26300"/>
      <w:bookmarkStart w:id="229" w:name="_Toc25533"/>
      <w:bookmarkStart w:id="230" w:name="_Toc23297"/>
      <w:bookmarkStart w:id="231" w:name="_Toc7828"/>
      <w:bookmarkStart w:id="232" w:name="_Toc26312"/>
      <w:bookmarkStart w:id="233" w:name="_Toc29663"/>
      <w:bookmarkStart w:id="234" w:name="_Toc24517"/>
      <w:bookmarkStart w:id="235" w:name="_Toc15008"/>
      <w:bookmarkStart w:id="236" w:name="_Toc7069"/>
      <w:bookmarkStart w:id="237" w:name="_Toc25357"/>
      <w:bookmarkStart w:id="238" w:name="_Toc27265"/>
      <w:bookmarkStart w:id="239" w:name="_Toc15411"/>
      <w:bookmarkStart w:id="240" w:name="_Toc682"/>
      <w:bookmarkStart w:id="241" w:name="_Toc20996"/>
      <w:bookmarkStart w:id="242" w:name="_Toc3274"/>
      <w:bookmarkStart w:id="243" w:name="_Toc21723"/>
      <w:bookmarkStart w:id="244" w:name="_Toc11011"/>
      <w:bookmarkStart w:id="245" w:name="_Toc21707"/>
      <w:bookmarkStart w:id="246" w:name="_Toc13223"/>
      <w:bookmarkStart w:id="247" w:name="_Toc20560"/>
      <w:bookmarkStart w:id="248" w:name="_Toc30767"/>
      <w:bookmarkStart w:id="249" w:name="_Toc31818"/>
      <w:bookmarkStart w:id="250" w:name="_Toc17010"/>
      <w:bookmarkStart w:id="251" w:name="_Toc30144"/>
      <w:bookmarkStart w:id="252" w:name="_Toc10662"/>
      <w:bookmarkStart w:id="253" w:name="_Toc20355"/>
      <w:bookmarkStart w:id="254" w:name="_Toc3094"/>
      <w:bookmarkStart w:id="255" w:name="_Toc30480"/>
      <w:bookmarkStart w:id="256" w:name="_Toc31449"/>
      <w:bookmarkStart w:id="257" w:name="_Toc4821"/>
      <w:bookmarkStart w:id="258" w:name="_Toc2403"/>
      <w:bookmarkStart w:id="259" w:name="_Toc7169"/>
      <w:bookmarkStart w:id="260" w:name="_Toc27902"/>
      <w:bookmarkStart w:id="261" w:name="_Toc12741"/>
      <w:bookmarkStart w:id="262" w:name="_Toc9268"/>
      <w:bookmarkStart w:id="263" w:name="_Toc17335"/>
      <w:bookmarkStart w:id="264" w:name="_Toc10193"/>
      <w:bookmarkStart w:id="265" w:name="_Toc14842"/>
      <w:bookmarkStart w:id="266" w:name="_Toc25839"/>
      <w:r>
        <w:rPr>
          <w:rFonts w:hint="eastAsia"/>
          <w:color w:val="auto"/>
        </w:rPr>
        <w:t>第五章</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hint="eastAsia"/>
          <w:color w:val="auto"/>
          <w:lang w:val="en-US" w:eastAsia="zh-CN"/>
        </w:rPr>
        <w:t xml:space="preserve"> </w:t>
      </w:r>
      <w:r>
        <w:rPr>
          <w:rFonts w:hint="eastAsia"/>
          <w:color w:val="auto"/>
        </w:rPr>
        <w:t>合理利用</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keepNext/>
        <w:keepLines/>
        <w:numPr>
          <w:ilvl w:val="0"/>
          <w:numId w:val="1"/>
        </w:numPr>
        <w:spacing w:before="86" w:beforeLines="20" w:after="86" w:afterLines="20" w:line="360" w:lineRule="auto"/>
        <w:ind w:left="0" w:firstLine="0" w:firstLineChars="0"/>
        <w:jc w:val="left"/>
        <w:outlineLvl w:val="1"/>
        <w:rPr>
          <w:bCs/>
          <w:color w:val="auto"/>
        </w:rPr>
      </w:pPr>
      <w:bookmarkStart w:id="267" w:name="_Toc9649"/>
      <w:bookmarkEnd w:id="267"/>
      <w:bookmarkStart w:id="268" w:name="_Toc20091"/>
    </w:p>
    <w:bookmarkEnd w:id="268"/>
    <w:p>
      <w:pPr>
        <w:ind w:firstLine="560"/>
        <w:rPr>
          <w:color w:val="auto"/>
        </w:rPr>
      </w:pPr>
      <w:r>
        <w:rPr>
          <w:rFonts w:hint="eastAsia"/>
          <w:color w:val="auto"/>
        </w:rPr>
        <w:t>在历史城区以及历史文化街区、历史文化名镇、历史文化名村、历史建筑、历史地段和传统村落内，应当在符合其保护要求的前提下，开展以下多种形式的利用，有关要求按照相关法律、法规和政策文件规定执行：</w:t>
      </w:r>
    </w:p>
    <w:p>
      <w:pPr>
        <w:ind w:firstLine="560"/>
        <w:rPr>
          <w:color w:val="auto"/>
        </w:rPr>
      </w:pPr>
      <w:r>
        <w:rPr>
          <w:rFonts w:hint="eastAsia"/>
          <w:color w:val="auto"/>
        </w:rPr>
        <w:t>（一）鼓励根据历史建筑的特点开展多种形式的利用，设立博物馆、纪念馆、展览馆、村史馆、社区图书馆、民俗文化体验馆等；</w:t>
      </w:r>
    </w:p>
    <w:p>
      <w:pPr>
        <w:ind w:firstLine="560"/>
        <w:rPr>
          <w:color w:val="auto"/>
        </w:rPr>
      </w:pPr>
      <w:r>
        <w:rPr>
          <w:rFonts w:hint="eastAsia"/>
          <w:color w:val="auto"/>
        </w:rPr>
        <w:t>（二）鼓励具有代表性建筑物、传统民居用作众创空间、商务办公、文化创意、科技孵化、特色餐饮、民宿客栈等；</w:t>
      </w:r>
    </w:p>
    <w:p>
      <w:pPr>
        <w:ind w:firstLine="560"/>
        <w:rPr>
          <w:color w:val="auto"/>
        </w:rPr>
      </w:pPr>
      <w:r>
        <w:rPr>
          <w:rFonts w:hint="eastAsia"/>
          <w:color w:val="auto"/>
        </w:rPr>
        <w:t>（三）开办传统手工作坊；</w:t>
      </w:r>
    </w:p>
    <w:p>
      <w:pPr>
        <w:ind w:firstLine="560"/>
        <w:rPr>
          <w:color w:val="auto"/>
        </w:rPr>
      </w:pPr>
      <w:r>
        <w:rPr>
          <w:rFonts w:hint="eastAsia"/>
          <w:color w:val="auto"/>
        </w:rPr>
        <w:t>（四）表演传统民间艺术；</w:t>
      </w:r>
    </w:p>
    <w:p>
      <w:pPr>
        <w:ind w:firstLine="560"/>
        <w:rPr>
          <w:color w:val="auto"/>
        </w:rPr>
      </w:pPr>
      <w:r>
        <w:rPr>
          <w:rFonts w:hint="eastAsia"/>
          <w:color w:val="auto"/>
        </w:rPr>
        <w:t>（五）开展体现韶关地方文化特色的文化创意、文化体验、文化研究、休闲旅游的经营活动；</w:t>
      </w:r>
    </w:p>
    <w:p>
      <w:pPr>
        <w:ind w:firstLine="560"/>
        <w:rPr>
          <w:color w:val="auto"/>
        </w:rPr>
      </w:pPr>
      <w:r>
        <w:rPr>
          <w:rFonts w:hint="eastAsia"/>
          <w:color w:val="auto"/>
        </w:rPr>
        <w:t>（六）其他不影响历史文化保护的利用活动。</w:t>
      </w:r>
    </w:p>
    <w:p>
      <w:pPr>
        <w:keepNext/>
        <w:keepLines/>
        <w:numPr>
          <w:ilvl w:val="0"/>
          <w:numId w:val="1"/>
        </w:numPr>
        <w:spacing w:before="86" w:beforeLines="20" w:after="86" w:afterLines="20" w:line="360" w:lineRule="auto"/>
        <w:ind w:left="0" w:firstLine="0" w:firstLineChars="0"/>
        <w:jc w:val="left"/>
        <w:outlineLvl w:val="1"/>
        <w:rPr>
          <w:rFonts w:ascii="黑体" w:hAnsi="黑体" w:eastAsia="黑体"/>
          <w:b/>
          <w:color w:val="auto"/>
        </w:rPr>
      </w:pPr>
      <w:bookmarkStart w:id="269" w:name="_Toc19978"/>
      <w:bookmarkEnd w:id="269"/>
    </w:p>
    <w:p>
      <w:pPr>
        <w:ind w:firstLine="560"/>
        <w:rPr>
          <w:color w:val="auto"/>
        </w:rPr>
      </w:pPr>
      <w:r>
        <w:rPr>
          <w:rFonts w:hint="eastAsia"/>
          <w:color w:val="auto"/>
        </w:rPr>
        <w:t>因历史文化名城保护利用需要，在历史城区内以及历史文化街区、历史文化名镇、历史文化名村、历史地段和传统村落的保护范围内的基础设施配置、绿化、消防等相关建筑或者工程无法按照标准或规范要求进行设计、施工的，</w:t>
      </w:r>
      <w:r>
        <w:rPr>
          <w:rFonts w:hint="eastAsia"/>
          <w:color w:val="auto"/>
          <w:highlight w:val="none"/>
        </w:rPr>
        <w:t>市自然资源主管部门应</w:t>
      </w:r>
      <w:r>
        <w:rPr>
          <w:rFonts w:hint="eastAsia"/>
          <w:color w:val="auto"/>
        </w:rPr>
        <w:t>当会同同级文物、</w:t>
      </w:r>
      <w:r>
        <w:rPr>
          <w:rFonts w:hint="eastAsia"/>
          <w:color w:val="auto"/>
          <w:lang w:eastAsia="zh-CN"/>
        </w:rPr>
        <w:t>住房和城乡建设</w:t>
      </w:r>
      <w:r>
        <w:rPr>
          <w:rFonts w:hint="eastAsia"/>
          <w:color w:val="auto"/>
        </w:rPr>
        <w:t>、生态环境、水务、交通运输、应急管理等相关主管部门制定相应的保障方案，并组织专家论证，明确相关布局、措施等。</w:t>
      </w:r>
    </w:p>
    <w:p>
      <w:pPr>
        <w:ind w:firstLine="560"/>
        <w:rPr>
          <w:color w:val="auto"/>
        </w:rPr>
      </w:pPr>
      <w:r>
        <w:rPr>
          <w:rFonts w:hint="eastAsia"/>
          <w:color w:val="auto"/>
        </w:rPr>
        <w:t>在历史文化街区、名镇、名村，历史地段核心保护范围内因实施保护规划需要进行建设活动，难以符合相关</w:t>
      </w:r>
      <w:bookmarkStart w:id="323" w:name="_GoBack"/>
      <w:bookmarkEnd w:id="323"/>
      <w:r>
        <w:rPr>
          <w:rFonts w:hint="eastAsia"/>
          <w:color w:val="auto"/>
        </w:rPr>
        <w:t>建设标准和规范的，在不突破原有建筑基底、建筑高度和建筑面积且不减少相邻建筑原有日照时间的情况下，</w:t>
      </w:r>
      <w:r>
        <w:rPr>
          <w:rFonts w:hint="eastAsia"/>
          <w:color w:val="auto"/>
          <w:lang w:val="en-US" w:eastAsia="zh-CN"/>
        </w:rPr>
        <w:t>依法</w:t>
      </w:r>
      <w:r>
        <w:rPr>
          <w:rFonts w:hint="eastAsia"/>
          <w:color w:val="auto"/>
        </w:rPr>
        <w:t>可以办理规划许可等相关手续。</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270" w:name="_Toc23750"/>
      <w:bookmarkEnd w:id="270"/>
      <w:bookmarkStart w:id="271" w:name="_Toc26383"/>
      <w:bookmarkStart w:id="272" w:name="_Toc6329"/>
      <w:bookmarkStart w:id="273" w:name="_Toc26296"/>
      <w:bookmarkStart w:id="274" w:name="_Toc451525593"/>
    </w:p>
    <w:bookmarkEnd w:id="271"/>
    <w:p>
      <w:pPr>
        <w:ind w:firstLine="560"/>
        <w:rPr>
          <w:color w:val="auto"/>
        </w:rPr>
      </w:pPr>
      <w:r>
        <w:rPr>
          <w:rFonts w:hint="eastAsia"/>
          <w:color w:val="auto"/>
        </w:rPr>
        <w:t>市人民政府应当建立历史文化名城信息管理系统，</w:t>
      </w:r>
      <w:r>
        <w:rPr>
          <w:color w:val="auto"/>
        </w:rPr>
        <w:t>对纳入保护名录的保护对象建立保护档案和相关数据库</w:t>
      </w:r>
      <w:r>
        <w:rPr>
          <w:rFonts w:hint="eastAsia"/>
          <w:color w:val="auto"/>
        </w:rPr>
        <w:t>，</w:t>
      </w:r>
      <w:r>
        <w:rPr>
          <w:color w:val="auto"/>
        </w:rPr>
        <w:t>记载保护对象的历史、权属、测绘数据、利用情况、相关研究成果等信息；并将保护档案和相关数据信息通过互联网等平台向社会公开，展示历史文化资源</w:t>
      </w:r>
      <w:r>
        <w:rPr>
          <w:rFonts w:hint="eastAsia"/>
          <w:color w:val="auto"/>
        </w:rPr>
        <w:t>，提供政策信息</w:t>
      </w:r>
      <w:r>
        <w:rPr>
          <w:color w:val="auto"/>
        </w:rPr>
        <w:t>，为组织和个人查阅信息、共享研究成果、开展保护利用提供便利；依法应当保密的除外。</w:t>
      </w:r>
    </w:p>
    <w:p>
      <w:pPr>
        <w:ind w:firstLine="560"/>
        <w:rPr>
          <w:rStyle w:val="30"/>
          <w:bCs w:val="0"/>
          <w:color w:val="auto"/>
        </w:rPr>
      </w:pPr>
      <w:r>
        <w:rPr>
          <w:color w:val="auto"/>
        </w:rPr>
        <w:t>鼓励通过现代科学技术手段，实现保护对象的展示与管理</w:t>
      </w:r>
      <w:r>
        <w:rPr>
          <w:rFonts w:hint="eastAsia"/>
          <w:color w:val="auto"/>
        </w:rPr>
        <w:t>。</w:t>
      </w:r>
    </w:p>
    <w:p>
      <w:pPr>
        <w:pStyle w:val="2"/>
        <w:numPr>
          <w:ilvl w:val="0"/>
          <w:numId w:val="2"/>
        </w:numPr>
        <w:rPr>
          <w:rStyle w:val="30"/>
          <w:rFonts w:hint="eastAsia"/>
          <w:b/>
          <w:bCs w:val="0"/>
          <w:color w:val="auto"/>
        </w:rPr>
      </w:pPr>
      <w:bookmarkStart w:id="275" w:name="_Toc6219"/>
      <w:bookmarkStart w:id="276" w:name="_Toc12800"/>
      <w:bookmarkStart w:id="277" w:name="_Toc5188"/>
      <w:bookmarkStart w:id="278" w:name="_Toc23577"/>
      <w:bookmarkStart w:id="279" w:name="_Toc31502"/>
      <w:bookmarkStart w:id="280" w:name="_Toc8361"/>
      <w:bookmarkStart w:id="281" w:name="_Toc11948"/>
      <w:bookmarkStart w:id="282" w:name="_Toc16784"/>
      <w:r>
        <w:rPr>
          <w:rStyle w:val="30"/>
          <w:b/>
          <w:bCs w:val="0"/>
          <w:color w:val="auto"/>
        </w:rPr>
        <w:t>法律</w:t>
      </w:r>
      <w:r>
        <w:rPr>
          <w:rStyle w:val="30"/>
          <w:rFonts w:hint="eastAsia"/>
          <w:b/>
          <w:bCs w:val="0"/>
          <w:color w:val="auto"/>
        </w:rPr>
        <w:t>责任</w:t>
      </w:r>
      <w:bookmarkEnd w:id="272"/>
      <w:bookmarkEnd w:id="273"/>
      <w:bookmarkEnd w:id="274"/>
      <w:bookmarkEnd w:id="275"/>
      <w:bookmarkEnd w:id="276"/>
      <w:bookmarkEnd w:id="277"/>
      <w:bookmarkEnd w:id="278"/>
      <w:bookmarkEnd w:id="279"/>
      <w:bookmarkEnd w:id="280"/>
      <w:bookmarkEnd w:id="281"/>
      <w:bookmarkEnd w:id="282"/>
      <w:bookmarkStart w:id="283" w:name="_Toc13268"/>
      <w:bookmarkStart w:id="284" w:name="_Toc24568"/>
      <w:bookmarkStart w:id="285" w:name="_Toc11265"/>
      <w:bookmarkStart w:id="286" w:name="_Toc18540"/>
      <w:bookmarkStart w:id="287" w:name="_Toc22682"/>
      <w:bookmarkStart w:id="288" w:name="_Toc23784"/>
      <w:bookmarkStart w:id="289" w:name="_Toc30830"/>
      <w:bookmarkStart w:id="290" w:name="_Toc8880"/>
      <w:bookmarkStart w:id="291" w:name="_Toc1525"/>
      <w:bookmarkStart w:id="292" w:name="_Toc1407"/>
      <w:bookmarkStart w:id="293" w:name="_Toc13544"/>
      <w:bookmarkStart w:id="294" w:name="_Toc31650"/>
      <w:bookmarkStart w:id="295" w:name="_Toc874"/>
      <w:bookmarkStart w:id="296" w:name="_Toc26129"/>
      <w:bookmarkStart w:id="297" w:name="_Toc6050"/>
      <w:bookmarkStart w:id="298" w:name="_Toc19143"/>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Pr>
        <w:keepNext/>
        <w:keepLines/>
        <w:numPr>
          <w:ilvl w:val="0"/>
          <w:numId w:val="1"/>
        </w:numPr>
        <w:spacing w:before="86" w:beforeLines="20" w:after="86" w:afterLines="20" w:line="360" w:lineRule="auto"/>
        <w:ind w:left="0" w:leftChars="0" w:firstLine="0" w:firstLineChars="0"/>
        <w:jc w:val="left"/>
        <w:outlineLvl w:val="1"/>
        <w:rPr>
          <w:rFonts w:ascii="黑体" w:hAnsi="黑体" w:eastAsia="黑体"/>
          <w:b/>
          <w:color w:val="auto"/>
        </w:rPr>
      </w:pPr>
      <w:bookmarkStart w:id="299" w:name="_Toc15957"/>
      <w:bookmarkEnd w:id="299"/>
    </w:p>
    <w:bookmarkEnd w:id="298"/>
    <w:p>
      <w:pPr>
        <w:ind w:firstLine="560"/>
        <w:rPr>
          <w:color w:val="auto"/>
        </w:rPr>
      </w:pPr>
      <w:r>
        <w:rPr>
          <w:rFonts w:hint="eastAsia"/>
          <w:color w:val="auto"/>
        </w:rPr>
        <w:t>违反</w:t>
      </w:r>
      <w:r>
        <w:rPr>
          <w:rFonts w:hint="eastAsia"/>
          <w:color w:val="auto"/>
          <w:lang w:val="en-US" w:eastAsia="zh-CN"/>
        </w:rPr>
        <w:t>本办法</w:t>
      </w:r>
      <w:r>
        <w:rPr>
          <w:rFonts w:hint="eastAsia"/>
          <w:color w:val="auto"/>
        </w:rPr>
        <w:t>第十三条</w:t>
      </w:r>
      <w:r>
        <w:rPr>
          <w:color w:val="auto"/>
        </w:rPr>
        <w:t>规定</w:t>
      </w:r>
      <w:r>
        <w:rPr>
          <w:rFonts w:hint="eastAsia"/>
          <w:color w:val="auto"/>
        </w:rPr>
        <w:t>，预先保护期内损坏或者擅自迁移、拆除预先保护对象的，按照《历史文化名城名镇名村保护条例》第四十</w:t>
      </w:r>
      <w:r>
        <w:rPr>
          <w:rFonts w:hint="eastAsia"/>
          <w:color w:val="auto"/>
          <w:lang w:val="en-US" w:eastAsia="zh-CN"/>
        </w:rPr>
        <w:t>三</w:t>
      </w:r>
      <w:r>
        <w:rPr>
          <w:rFonts w:hint="eastAsia"/>
          <w:color w:val="auto"/>
        </w:rPr>
        <w:t>条进行处</w:t>
      </w:r>
      <w:r>
        <w:rPr>
          <w:rFonts w:hint="eastAsia"/>
          <w:color w:val="auto"/>
          <w:lang w:val="en-US" w:eastAsia="zh-CN"/>
        </w:rPr>
        <w:t>理</w:t>
      </w:r>
      <w:r>
        <w:rPr>
          <w:rFonts w:hint="eastAsia"/>
          <w:color w:val="auto"/>
        </w:rPr>
        <w:t>。</w:t>
      </w:r>
    </w:p>
    <w:p>
      <w:pPr>
        <w:ind w:firstLine="560"/>
        <w:rPr>
          <w:color w:val="auto"/>
        </w:rPr>
      </w:pPr>
      <w:r>
        <w:rPr>
          <w:rFonts w:hint="eastAsia"/>
          <w:color w:val="auto"/>
        </w:rPr>
        <w:t>违反</w:t>
      </w:r>
      <w:r>
        <w:rPr>
          <w:rFonts w:hint="eastAsia"/>
          <w:color w:val="auto"/>
          <w:lang w:val="en-US" w:eastAsia="zh-CN"/>
        </w:rPr>
        <w:t>本办法</w:t>
      </w:r>
      <w:r>
        <w:rPr>
          <w:rFonts w:hint="eastAsia"/>
          <w:color w:val="auto"/>
        </w:rPr>
        <w:t>第二十四条</w:t>
      </w:r>
      <w:r>
        <w:rPr>
          <w:color w:val="auto"/>
        </w:rPr>
        <w:t>规定</w:t>
      </w:r>
      <w:r>
        <w:rPr>
          <w:rFonts w:hint="eastAsia"/>
          <w:color w:val="auto"/>
        </w:rPr>
        <w:t>，建设活动未遵守</w:t>
      </w:r>
      <w:r>
        <w:rPr>
          <w:rFonts w:hint="eastAsia"/>
          <w:color w:val="auto"/>
          <w:lang w:val="en-US" w:eastAsia="zh-CN"/>
        </w:rPr>
        <w:t>规划</w:t>
      </w:r>
      <w:r>
        <w:rPr>
          <w:rFonts w:hint="eastAsia"/>
          <w:color w:val="auto"/>
        </w:rPr>
        <w:t>保护要求的，按照《历史文化名城名镇名村保护条例》第四十三条进行处</w:t>
      </w:r>
      <w:r>
        <w:rPr>
          <w:rFonts w:hint="eastAsia"/>
          <w:color w:val="auto"/>
          <w:lang w:val="en-US" w:eastAsia="zh-CN"/>
        </w:rPr>
        <w:t>理</w:t>
      </w:r>
      <w:r>
        <w:rPr>
          <w:rFonts w:hint="eastAsia"/>
          <w:color w:val="auto"/>
        </w:rPr>
        <w:t>。</w:t>
      </w:r>
    </w:p>
    <w:p>
      <w:pPr>
        <w:ind w:firstLine="560"/>
        <w:rPr>
          <w:color w:val="auto"/>
        </w:rPr>
      </w:pPr>
      <w:r>
        <w:rPr>
          <w:rFonts w:hint="eastAsia"/>
          <w:color w:val="auto"/>
        </w:rPr>
        <w:t>违反</w:t>
      </w:r>
      <w:r>
        <w:rPr>
          <w:rFonts w:hint="eastAsia"/>
          <w:color w:val="auto"/>
          <w:lang w:val="en-US" w:eastAsia="zh-CN"/>
        </w:rPr>
        <w:t>本办法</w:t>
      </w:r>
      <w:r>
        <w:rPr>
          <w:rFonts w:hint="eastAsia"/>
          <w:color w:val="auto"/>
        </w:rPr>
        <w:t>第二十五条</w:t>
      </w:r>
      <w:r>
        <w:rPr>
          <w:color w:val="auto"/>
        </w:rPr>
        <w:t>规定</w:t>
      </w:r>
      <w:r>
        <w:rPr>
          <w:rFonts w:hint="eastAsia"/>
          <w:color w:val="auto"/>
        </w:rPr>
        <w:t>，开展禁止活动的，按照《历史文化名城名镇名村保护条例》第四十三条进行处</w:t>
      </w:r>
      <w:r>
        <w:rPr>
          <w:rFonts w:hint="eastAsia"/>
          <w:color w:val="auto"/>
          <w:lang w:val="en-US" w:eastAsia="zh-CN"/>
        </w:rPr>
        <w:t>理</w:t>
      </w:r>
      <w:r>
        <w:rPr>
          <w:rFonts w:hint="eastAsia"/>
          <w:color w:val="auto"/>
        </w:rPr>
        <w:t>。</w:t>
      </w:r>
    </w:p>
    <w:p>
      <w:pPr>
        <w:ind w:firstLine="560"/>
        <w:rPr>
          <w:color w:val="auto"/>
        </w:rPr>
      </w:pPr>
      <w:r>
        <w:rPr>
          <w:rFonts w:hint="eastAsia"/>
          <w:color w:val="auto"/>
        </w:rPr>
        <w:t>违反</w:t>
      </w:r>
      <w:r>
        <w:rPr>
          <w:rFonts w:hint="eastAsia"/>
          <w:color w:val="auto"/>
          <w:lang w:val="en-US" w:eastAsia="zh-CN"/>
        </w:rPr>
        <w:t>本办法</w:t>
      </w:r>
      <w:r>
        <w:rPr>
          <w:rFonts w:hint="eastAsia"/>
          <w:color w:val="auto"/>
        </w:rPr>
        <w:t>第二十七条</w:t>
      </w:r>
      <w:r>
        <w:rPr>
          <w:color w:val="auto"/>
        </w:rPr>
        <w:t>规定</w:t>
      </w:r>
      <w:r>
        <w:rPr>
          <w:rFonts w:hint="eastAsia"/>
          <w:color w:val="auto"/>
        </w:rPr>
        <w:t>，擅自设置、移动、遮挡、涂改、损毁或者拆除保护标志的，按照《历史文化名城名镇名村保护条例》第四十五条进行处</w:t>
      </w:r>
      <w:r>
        <w:rPr>
          <w:rFonts w:hint="eastAsia"/>
          <w:color w:val="auto"/>
          <w:lang w:val="en-US" w:eastAsia="zh-CN"/>
        </w:rPr>
        <w:t>理</w:t>
      </w:r>
      <w:r>
        <w:rPr>
          <w:rFonts w:hint="eastAsia"/>
          <w:color w:val="auto"/>
        </w:rPr>
        <w:t>。</w:t>
      </w:r>
    </w:p>
    <w:p>
      <w:pPr>
        <w:ind w:firstLine="560"/>
        <w:rPr>
          <w:color w:val="auto"/>
        </w:rPr>
      </w:pPr>
      <w:r>
        <w:rPr>
          <w:rFonts w:hint="eastAsia"/>
          <w:color w:val="auto"/>
        </w:rPr>
        <w:t>违反本办法规定的其他行为，法律、法规有处罚规定的，从其规定。</w:t>
      </w:r>
    </w:p>
    <w:p>
      <w:pPr>
        <w:keepNext/>
        <w:keepLines/>
        <w:numPr>
          <w:ilvl w:val="0"/>
          <w:numId w:val="1"/>
        </w:numPr>
        <w:spacing w:before="86" w:beforeLines="20" w:after="86" w:afterLines="20" w:line="360" w:lineRule="auto"/>
        <w:ind w:left="0" w:firstLine="0" w:firstLineChars="0"/>
        <w:jc w:val="left"/>
        <w:outlineLvl w:val="1"/>
        <w:rPr>
          <w:bCs/>
          <w:color w:val="auto"/>
        </w:rPr>
      </w:pPr>
      <w:bookmarkStart w:id="300" w:name="_Toc16441"/>
      <w:bookmarkEnd w:id="300"/>
      <w:bookmarkStart w:id="301" w:name="_Toc6132"/>
    </w:p>
    <w:p>
      <w:pPr>
        <w:ind w:firstLine="560"/>
        <w:rPr>
          <w:color w:val="auto"/>
        </w:rPr>
      </w:pPr>
      <w:r>
        <w:rPr>
          <w:rFonts w:hint="eastAsia"/>
          <w:color w:val="auto"/>
        </w:rPr>
        <w:t>违反本办法规定，市、县（市、区）人民政府及其有关部门的工作人员</w:t>
      </w:r>
      <w:r>
        <w:rPr>
          <w:rFonts w:hint="eastAsia"/>
          <w:color w:val="auto"/>
          <w:lang w:eastAsia="zh-CN"/>
        </w:rPr>
        <w:t>，</w:t>
      </w:r>
      <w:r>
        <w:rPr>
          <w:rFonts w:hint="eastAsia"/>
          <w:color w:val="auto"/>
        </w:rPr>
        <w:t>不履行监督管理职责，发现违法行为不予查处或者有其他滥用职权、玩忽职守、徇私舞弊的行为，按照《历史文化名城名镇名村保护条例》第三十七条进行处</w:t>
      </w:r>
      <w:r>
        <w:rPr>
          <w:rFonts w:hint="eastAsia"/>
          <w:color w:val="auto"/>
          <w:lang w:val="en-US" w:eastAsia="zh-CN"/>
        </w:rPr>
        <w:t>理</w:t>
      </w:r>
      <w:r>
        <w:rPr>
          <w:rFonts w:hint="eastAsia"/>
          <w:color w:val="auto"/>
        </w:rPr>
        <w:t>。</w:t>
      </w:r>
    </w:p>
    <w:p>
      <w:pPr>
        <w:ind w:firstLine="560"/>
        <w:rPr>
          <w:color w:val="auto"/>
        </w:rPr>
      </w:pPr>
      <w:r>
        <w:rPr>
          <w:rFonts w:hint="eastAsia"/>
          <w:color w:val="auto"/>
        </w:rPr>
        <w:t>违反</w:t>
      </w:r>
      <w:r>
        <w:rPr>
          <w:rFonts w:hint="eastAsia"/>
          <w:color w:val="auto"/>
          <w:lang w:val="en-US" w:eastAsia="zh-CN"/>
        </w:rPr>
        <w:t>本办法</w:t>
      </w:r>
      <w:r>
        <w:rPr>
          <w:rFonts w:hint="eastAsia"/>
          <w:color w:val="auto"/>
        </w:rPr>
        <w:t>第十四条、第十七条、第二十条规定，未按程序编制要求组织编制、修改保护规划的，按照《历史文化名城名镇名村保护条例》第三十八条进行处</w:t>
      </w:r>
      <w:r>
        <w:rPr>
          <w:rFonts w:hint="eastAsia"/>
          <w:color w:val="auto"/>
          <w:lang w:val="en-US" w:eastAsia="zh-CN"/>
        </w:rPr>
        <w:t>理</w:t>
      </w:r>
      <w:r>
        <w:rPr>
          <w:rFonts w:hint="eastAsia"/>
          <w:color w:val="auto"/>
        </w:rPr>
        <w:t>。</w:t>
      </w:r>
    </w:p>
    <w:p>
      <w:pPr>
        <w:ind w:firstLine="560"/>
        <w:rPr>
          <w:color w:val="auto"/>
        </w:rPr>
      </w:pPr>
      <w:r>
        <w:rPr>
          <w:rFonts w:hint="eastAsia"/>
          <w:color w:val="auto"/>
        </w:rPr>
        <w:t>违反</w:t>
      </w:r>
      <w:r>
        <w:rPr>
          <w:rFonts w:hint="eastAsia"/>
          <w:color w:val="auto"/>
          <w:lang w:val="en-US" w:eastAsia="zh-CN"/>
        </w:rPr>
        <w:t>本办法</w:t>
      </w:r>
      <w:r>
        <w:rPr>
          <w:rFonts w:hint="eastAsia"/>
          <w:color w:val="auto"/>
        </w:rPr>
        <w:t>第二十四条、第二十九条规定，未按照保护规划的要求或者未按照法定程序履行审批职责的，按照《历史文化名城名镇名村保护条例》第三十九条进行处</w:t>
      </w:r>
      <w:r>
        <w:rPr>
          <w:rFonts w:hint="eastAsia"/>
          <w:color w:val="auto"/>
          <w:lang w:val="en-US" w:eastAsia="zh-CN"/>
        </w:rPr>
        <w:t>理</w:t>
      </w:r>
      <w:r>
        <w:rPr>
          <w:rFonts w:hint="eastAsia"/>
          <w:color w:val="auto"/>
        </w:rPr>
        <w:t>。</w:t>
      </w:r>
    </w:p>
    <w:p>
      <w:pPr>
        <w:ind w:firstLine="560"/>
        <w:rPr>
          <w:color w:val="auto"/>
        </w:rPr>
      </w:pPr>
      <w:r>
        <w:rPr>
          <w:rFonts w:hint="eastAsia"/>
          <w:color w:val="auto"/>
        </w:rPr>
        <w:t>违反</w:t>
      </w:r>
      <w:r>
        <w:rPr>
          <w:rFonts w:hint="eastAsia"/>
          <w:color w:val="auto"/>
          <w:lang w:val="en-US" w:eastAsia="zh-CN"/>
        </w:rPr>
        <w:t>本办法</w:t>
      </w:r>
      <w:r>
        <w:rPr>
          <w:rFonts w:hint="eastAsia"/>
          <w:color w:val="auto"/>
        </w:rPr>
        <w:t>第二十七条规定，未设置保护标志的，按照《广东省城乡规划条例》第七十七条进行处</w:t>
      </w:r>
      <w:r>
        <w:rPr>
          <w:rFonts w:hint="eastAsia"/>
          <w:color w:val="auto"/>
          <w:lang w:val="en-US" w:eastAsia="zh-CN"/>
        </w:rPr>
        <w:t>理</w:t>
      </w:r>
      <w:r>
        <w:rPr>
          <w:rFonts w:hint="eastAsia"/>
          <w:color w:val="auto"/>
        </w:rPr>
        <w:t>。</w:t>
      </w:r>
    </w:p>
    <w:p>
      <w:pPr>
        <w:pStyle w:val="2"/>
        <w:jc w:val="center"/>
        <w:rPr>
          <w:color w:val="auto"/>
        </w:rPr>
      </w:pPr>
      <w:bookmarkStart w:id="302" w:name="_Toc6486"/>
      <w:bookmarkStart w:id="303" w:name="_Toc19974"/>
      <w:bookmarkStart w:id="304" w:name="_Toc11802"/>
      <w:bookmarkStart w:id="305" w:name="_Toc9808"/>
      <w:bookmarkStart w:id="306" w:name="_Toc3493"/>
      <w:bookmarkStart w:id="307" w:name="_Toc12625"/>
      <w:bookmarkStart w:id="308" w:name="_Toc4364"/>
      <w:bookmarkStart w:id="309" w:name="_Toc9509"/>
      <w:bookmarkStart w:id="310" w:name="_Toc4282"/>
      <w:bookmarkStart w:id="311" w:name="_Toc11449"/>
      <w:bookmarkStart w:id="312" w:name="_Toc6571"/>
      <w:bookmarkStart w:id="313" w:name="_Toc2894"/>
      <w:bookmarkStart w:id="314" w:name="_Toc988"/>
      <w:bookmarkStart w:id="315" w:name="_Toc22473"/>
      <w:bookmarkStart w:id="316" w:name="_Toc20452"/>
      <w:bookmarkStart w:id="317" w:name="_Toc16665"/>
      <w:bookmarkStart w:id="318" w:name="_Toc32667"/>
      <w:r>
        <w:rPr>
          <w:color w:val="auto"/>
        </w:rPr>
        <w:t>第</w:t>
      </w:r>
      <w:r>
        <w:rPr>
          <w:rFonts w:hint="eastAsia"/>
          <w:color w:val="auto"/>
        </w:rPr>
        <w:t>七</w:t>
      </w:r>
      <w:r>
        <w:rPr>
          <w:color w:val="auto"/>
        </w:rPr>
        <w:t>章</w:t>
      </w:r>
      <w:r>
        <w:rPr>
          <w:rFonts w:hint="eastAsia"/>
          <w:color w:val="auto"/>
          <w:lang w:val="en-US" w:eastAsia="zh-CN"/>
        </w:rPr>
        <w:t xml:space="preserve"> </w:t>
      </w:r>
      <w:r>
        <w:rPr>
          <w:color w:val="auto"/>
        </w:rPr>
        <w:t>附则</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keepNext/>
        <w:keepLines/>
        <w:numPr>
          <w:ilvl w:val="0"/>
          <w:numId w:val="1"/>
        </w:numPr>
        <w:spacing w:before="86" w:beforeLines="20" w:after="86" w:afterLines="20" w:line="360" w:lineRule="auto"/>
        <w:ind w:left="0" w:firstLine="0" w:firstLineChars="0"/>
        <w:jc w:val="left"/>
        <w:outlineLvl w:val="1"/>
        <w:rPr>
          <w:bCs/>
          <w:color w:val="auto"/>
        </w:rPr>
      </w:pPr>
      <w:bookmarkStart w:id="319" w:name="_Toc32522"/>
      <w:bookmarkEnd w:id="319"/>
      <w:bookmarkStart w:id="320" w:name="_Toc8970"/>
    </w:p>
    <w:bookmarkEnd w:id="320"/>
    <w:p>
      <w:pPr>
        <w:ind w:firstLine="560"/>
        <w:rPr>
          <w:color w:val="auto"/>
        </w:rPr>
      </w:pPr>
      <w:r>
        <w:rPr>
          <w:color w:val="auto"/>
        </w:rPr>
        <w:t>本办法下列用语的含义：</w:t>
      </w:r>
    </w:p>
    <w:p>
      <w:pPr>
        <w:ind w:firstLine="560"/>
        <w:rPr>
          <w:color w:val="auto"/>
        </w:rPr>
      </w:pPr>
      <w:r>
        <w:rPr>
          <w:rFonts w:hint="eastAsia"/>
          <w:color w:val="auto"/>
        </w:rPr>
        <w:t>（一）历史城区：是指经历史文化名城保护规划批复划定，能体现韶关历史发展过程或某一发展时期风貌的地区，是历史范围清楚、格局和风貌保存较为完整、需要保护的地区。</w:t>
      </w:r>
    </w:p>
    <w:p>
      <w:pPr>
        <w:ind w:firstLine="560"/>
        <w:rPr>
          <w:color w:val="auto"/>
        </w:rPr>
      </w:pPr>
      <w:r>
        <w:rPr>
          <w:color w:val="auto"/>
        </w:rPr>
        <w:t>（二）历史文化街区：</w:t>
      </w:r>
      <w:r>
        <w:rPr>
          <w:rFonts w:hint="eastAsia"/>
          <w:color w:val="auto"/>
        </w:rPr>
        <w:t>经省人民政府核定公布的保存文物特别丰富、历史建筑集中成片、能够较完整和真实地体现传统格局和历史风貌，并具有一定规模的历史地段</w:t>
      </w:r>
      <w:r>
        <w:rPr>
          <w:color w:val="auto"/>
        </w:rPr>
        <w:t>。</w:t>
      </w:r>
    </w:p>
    <w:p>
      <w:pPr>
        <w:ind w:firstLine="560"/>
        <w:rPr>
          <w:color w:val="auto"/>
        </w:rPr>
      </w:pPr>
      <w:r>
        <w:rPr>
          <w:color w:val="auto"/>
        </w:rPr>
        <w:t>（三）</w:t>
      </w:r>
      <w:r>
        <w:rPr>
          <w:rFonts w:hint="eastAsia"/>
          <w:color w:val="auto"/>
        </w:rPr>
        <w:t>历史地段</w:t>
      </w:r>
      <w:r>
        <w:rPr>
          <w:color w:val="auto"/>
        </w:rPr>
        <w:t>：</w:t>
      </w:r>
      <w:r>
        <w:rPr>
          <w:rFonts w:hint="eastAsia"/>
          <w:color w:val="auto"/>
        </w:rPr>
        <w:t>尚</w:t>
      </w:r>
      <w:r>
        <w:rPr>
          <w:color w:val="auto"/>
        </w:rPr>
        <w:t>未确定为历史文化街区</w:t>
      </w:r>
      <w:r>
        <w:rPr>
          <w:rFonts w:hint="eastAsia"/>
          <w:color w:val="auto"/>
        </w:rPr>
        <w:t>的、能够真实地反映一定历史时期传统风貌和民族、地方特色的地区。</w:t>
      </w:r>
    </w:p>
    <w:p>
      <w:pPr>
        <w:ind w:firstLine="560"/>
        <w:rPr>
          <w:color w:val="auto"/>
        </w:rPr>
      </w:pPr>
      <w:r>
        <w:rPr>
          <w:rFonts w:hint="eastAsia"/>
          <w:color w:val="auto"/>
        </w:rPr>
        <w:t>（</w:t>
      </w:r>
      <w:r>
        <w:rPr>
          <w:rFonts w:hint="eastAsia"/>
          <w:color w:val="auto"/>
          <w:lang w:val="en-US" w:eastAsia="zh-CN"/>
        </w:rPr>
        <w:t>四</w:t>
      </w:r>
      <w:r>
        <w:rPr>
          <w:rFonts w:hint="eastAsia"/>
          <w:color w:val="auto"/>
        </w:rPr>
        <w:t>）历史建筑：经城市、县人民政府确定公布的具有一定保护价值，能够反映历史风貌和地方特色的建筑物、构筑物。</w:t>
      </w:r>
    </w:p>
    <w:p>
      <w:pPr>
        <w:ind w:firstLine="560"/>
        <w:rPr>
          <w:color w:val="auto"/>
        </w:rPr>
      </w:pPr>
      <w:r>
        <w:rPr>
          <w:rFonts w:hint="eastAsia"/>
          <w:color w:val="auto"/>
        </w:rPr>
        <w:t>（</w:t>
      </w:r>
      <w:r>
        <w:rPr>
          <w:rFonts w:hint="eastAsia"/>
          <w:color w:val="auto"/>
          <w:lang w:val="en-US" w:eastAsia="zh-CN"/>
        </w:rPr>
        <w:t>五</w:t>
      </w:r>
      <w:r>
        <w:rPr>
          <w:rFonts w:hint="eastAsia"/>
          <w:color w:val="auto"/>
        </w:rPr>
        <w:t>）历史环境要素：反映历史风貌的古井、围墙、石阶、铺地、驳岸、古树名木等。</w:t>
      </w:r>
    </w:p>
    <w:p>
      <w:pPr>
        <w:ind w:firstLine="480"/>
        <w:jc w:val="left"/>
        <w:rPr>
          <w:color w:val="auto"/>
        </w:rPr>
      </w:pPr>
    </w:p>
    <w:p>
      <w:pPr>
        <w:keepNext/>
        <w:keepLines/>
        <w:numPr>
          <w:ilvl w:val="0"/>
          <w:numId w:val="1"/>
        </w:numPr>
        <w:spacing w:before="86" w:beforeLines="20" w:after="86" w:afterLines="20" w:line="360" w:lineRule="auto"/>
        <w:ind w:left="0" w:firstLine="0" w:firstLineChars="0"/>
        <w:jc w:val="left"/>
        <w:outlineLvl w:val="1"/>
        <w:rPr>
          <w:bCs/>
          <w:color w:val="auto"/>
        </w:rPr>
      </w:pPr>
      <w:bookmarkStart w:id="321" w:name="_Toc15886"/>
      <w:bookmarkEnd w:id="321"/>
      <w:bookmarkStart w:id="322" w:name="_Toc16678"/>
    </w:p>
    <w:bookmarkEnd w:id="322"/>
    <w:p>
      <w:pPr>
        <w:ind w:firstLine="560"/>
        <w:rPr>
          <w:color w:val="auto"/>
        </w:rPr>
      </w:pPr>
      <w:r>
        <w:rPr>
          <w:color w:val="auto"/>
        </w:rPr>
        <w:t>本办法自</w:t>
      </w:r>
      <w:r>
        <w:rPr>
          <w:rFonts w:hint="eastAsia"/>
          <w:color w:val="auto"/>
        </w:rPr>
        <w:t>X</w:t>
      </w:r>
      <w:r>
        <w:rPr>
          <w:color w:val="auto"/>
        </w:rPr>
        <w:t>年</w:t>
      </w:r>
      <w:r>
        <w:rPr>
          <w:rFonts w:hint="eastAsia"/>
          <w:color w:val="auto"/>
        </w:rPr>
        <w:t>X</w:t>
      </w:r>
      <w:r>
        <w:rPr>
          <w:color w:val="auto"/>
        </w:rPr>
        <w:t>月</w:t>
      </w:r>
      <w:r>
        <w:rPr>
          <w:rFonts w:hint="eastAsia"/>
          <w:color w:val="auto"/>
        </w:rPr>
        <w:t>X</w:t>
      </w:r>
      <w:r>
        <w:rPr>
          <w:color w:val="auto"/>
        </w:rPr>
        <w:t>日起施行，有效期五年。</w:t>
      </w:r>
    </w:p>
    <w:sectPr>
      <w:footerReference r:id="rId11" w:type="default"/>
      <w:pgSz w:w="11906" w:h="16838"/>
      <w:pgMar w:top="1531" w:right="1418" w:bottom="1531" w:left="1418" w:header="851" w:footer="992" w:gutter="0"/>
      <w:pgNumType w:start="1"/>
      <w:cols w:space="720" w:num="1"/>
      <w:docGrid w:type="lines" w:linePitch="4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674" w:h="401" w:hRule="exact" w:wrap="around" w:vAnchor="text" w:hAnchor="margin" w:xAlign="center" w:y="7"/>
      <w:ind w:firstLine="560"/>
      <w:jc w:val="center"/>
      <w:rPr>
        <w:rStyle w:val="21"/>
        <w:sz w:val="28"/>
        <w:szCs w:val="28"/>
      </w:rPr>
    </w:pPr>
    <w:r>
      <w:rPr>
        <w:rStyle w:val="21"/>
        <w:rFonts w:hint="eastAsia"/>
        <w:sz w:val="28"/>
        <w:szCs w:val="28"/>
      </w:rPr>
      <w:t>—</w:t>
    </w: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19</w:t>
    </w:r>
    <w:r>
      <w:rPr>
        <w:rStyle w:val="21"/>
        <w:sz w:val="28"/>
        <w:szCs w:val="28"/>
      </w:rPr>
      <w:fldChar w:fldCharType="end"/>
    </w:r>
    <w:r>
      <w:rPr>
        <w:rStyle w:val="21"/>
        <w:rFonts w:hint="eastAsia"/>
        <w:sz w:val="28"/>
        <w:szCs w:val="28"/>
      </w:rPr>
      <w:t>—</w:t>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50879"/>
    <w:multiLevelType w:val="multilevel"/>
    <w:tmpl w:val="54A50879"/>
    <w:lvl w:ilvl="0" w:tentative="0">
      <w:start w:val="1"/>
      <w:numFmt w:val="chineseCountingThousand"/>
      <w:pStyle w:val="24"/>
      <w:suff w:val="space"/>
      <w:lvlText w:val="第%1条"/>
      <w:lvlJc w:val="left"/>
      <w:pPr>
        <w:ind w:left="567" w:firstLine="3"/>
      </w:pPr>
      <w:rPr>
        <w:rFonts w:hint="eastAsia" w:eastAsia="黑体"/>
        <w:b/>
        <w:i w:val="0"/>
        <w:sz w:val="30"/>
        <w:lang w:val="en-US"/>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
    <w:nsid w:val="761FE2C8"/>
    <w:multiLevelType w:val="singleLevel"/>
    <w:tmpl w:val="761FE2C8"/>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21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Yjc1ZTA4MDNhN2ZjMzI0NzBhNzQwNjQ5MDI2NmYifQ=="/>
  </w:docVars>
  <w:rsids>
    <w:rsidRoot w:val="00172A27"/>
    <w:rsid w:val="0000019B"/>
    <w:rsid w:val="00003E3F"/>
    <w:rsid w:val="00004B30"/>
    <w:rsid w:val="000069F2"/>
    <w:rsid w:val="000215A8"/>
    <w:rsid w:val="000303A4"/>
    <w:rsid w:val="00033724"/>
    <w:rsid w:val="00037EFD"/>
    <w:rsid w:val="00040187"/>
    <w:rsid w:val="00041705"/>
    <w:rsid w:val="00046DF0"/>
    <w:rsid w:val="0005177A"/>
    <w:rsid w:val="00052141"/>
    <w:rsid w:val="00052481"/>
    <w:rsid w:val="00052616"/>
    <w:rsid w:val="00064DDE"/>
    <w:rsid w:val="00074E41"/>
    <w:rsid w:val="000864AA"/>
    <w:rsid w:val="00092C88"/>
    <w:rsid w:val="0009541D"/>
    <w:rsid w:val="000967F4"/>
    <w:rsid w:val="000A019C"/>
    <w:rsid w:val="000A4A0C"/>
    <w:rsid w:val="000B2F61"/>
    <w:rsid w:val="000B40EE"/>
    <w:rsid w:val="000B4324"/>
    <w:rsid w:val="000B43C9"/>
    <w:rsid w:val="000D1F87"/>
    <w:rsid w:val="000D2918"/>
    <w:rsid w:val="000D29C5"/>
    <w:rsid w:val="000D57C9"/>
    <w:rsid w:val="000D58A9"/>
    <w:rsid w:val="000D603F"/>
    <w:rsid w:val="000D7584"/>
    <w:rsid w:val="000E5725"/>
    <w:rsid w:val="000E610A"/>
    <w:rsid w:val="000E7C19"/>
    <w:rsid w:val="000F0E67"/>
    <w:rsid w:val="000F2475"/>
    <w:rsid w:val="000F65FD"/>
    <w:rsid w:val="000F7FCF"/>
    <w:rsid w:val="00101071"/>
    <w:rsid w:val="00103F55"/>
    <w:rsid w:val="00103FA3"/>
    <w:rsid w:val="00105D21"/>
    <w:rsid w:val="00105E81"/>
    <w:rsid w:val="0011130F"/>
    <w:rsid w:val="00120690"/>
    <w:rsid w:val="00126CBF"/>
    <w:rsid w:val="001372DC"/>
    <w:rsid w:val="00142462"/>
    <w:rsid w:val="00147520"/>
    <w:rsid w:val="00153BA7"/>
    <w:rsid w:val="00153F74"/>
    <w:rsid w:val="00154D65"/>
    <w:rsid w:val="00167907"/>
    <w:rsid w:val="00172A27"/>
    <w:rsid w:val="00176956"/>
    <w:rsid w:val="00180D9E"/>
    <w:rsid w:val="001816DA"/>
    <w:rsid w:val="00185E14"/>
    <w:rsid w:val="0018791D"/>
    <w:rsid w:val="00193B84"/>
    <w:rsid w:val="001A115F"/>
    <w:rsid w:val="001A1F5E"/>
    <w:rsid w:val="001A2157"/>
    <w:rsid w:val="001A33D0"/>
    <w:rsid w:val="001A5F17"/>
    <w:rsid w:val="001C01DE"/>
    <w:rsid w:val="001C5020"/>
    <w:rsid w:val="001C718A"/>
    <w:rsid w:val="001D5FE5"/>
    <w:rsid w:val="001D7F15"/>
    <w:rsid w:val="001E3FDC"/>
    <w:rsid w:val="001F00B2"/>
    <w:rsid w:val="001F7547"/>
    <w:rsid w:val="001F7E4E"/>
    <w:rsid w:val="002008A3"/>
    <w:rsid w:val="0020389B"/>
    <w:rsid w:val="00204C40"/>
    <w:rsid w:val="00205FB2"/>
    <w:rsid w:val="002159A0"/>
    <w:rsid w:val="002176B3"/>
    <w:rsid w:val="002242CB"/>
    <w:rsid w:val="00225561"/>
    <w:rsid w:val="002339BC"/>
    <w:rsid w:val="002407F9"/>
    <w:rsid w:val="002457AA"/>
    <w:rsid w:val="00253087"/>
    <w:rsid w:val="002545B5"/>
    <w:rsid w:val="002567C4"/>
    <w:rsid w:val="0025723E"/>
    <w:rsid w:val="00260D91"/>
    <w:rsid w:val="0026358F"/>
    <w:rsid w:val="00264CE3"/>
    <w:rsid w:val="00267F87"/>
    <w:rsid w:val="002802EE"/>
    <w:rsid w:val="00283922"/>
    <w:rsid w:val="0028671A"/>
    <w:rsid w:val="0029190A"/>
    <w:rsid w:val="00295529"/>
    <w:rsid w:val="00297656"/>
    <w:rsid w:val="002A7986"/>
    <w:rsid w:val="002B07FF"/>
    <w:rsid w:val="002B0867"/>
    <w:rsid w:val="002B1179"/>
    <w:rsid w:val="002B3B3A"/>
    <w:rsid w:val="002C0889"/>
    <w:rsid w:val="002C271E"/>
    <w:rsid w:val="002E0AE8"/>
    <w:rsid w:val="002E1B3F"/>
    <w:rsid w:val="002E2259"/>
    <w:rsid w:val="002E379F"/>
    <w:rsid w:val="002E4893"/>
    <w:rsid w:val="002F3EB4"/>
    <w:rsid w:val="003001AE"/>
    <w:rsid w:val="00303459"/>
    <w:rsid w:val="0030402E"/>
    <w:rsid w:val="0030750D"/>
    <w:rsid w:val="00311F05"/>
    <w:rsid w:val="003127CF"/>
    <w:rsid w:val="003133CE"/>
    <w:rsid w:val="00313DFD"/>
    <w:rsid w:val="0031642C"/>
    <w:rsid w:val="00316778"/>
    <w:rsid w:val="003215D3"/>
    <w:rsid w:val="00327BD3"/>
    <w:rsid w:val="00327E82"/>
    <w:rsid w:val="00331091"/>
    <w:rsid w:val="003411BA"/>
    <w:rsid w:val="003433D8"/>
    <w:rsid w:val="00343D9A"/>
    <w:rsid w:val="00347B25"/>
    <w:rsid w:val="0035302D"/>
    <w:rsid w:val="00353D31"/>
    <w:rsid w:val="003602DA"/>
    <w:rsid w:val="00365DA6"/>
    <w:rsid w:val="00375180"/>
    <w:rsid w:val="00375910"/>
    <w:rsid w:val="00375AA2"/>
    <w:rsid w:val="0037745F"/>
    <w:rsid w:val="00384FC0"/>
    <w:rsid w:val="00390F2E"/>
    <w:rsid w:val="00396BEB"/>
    <w:rsid w:val="003A26AE"/>
    <w:rsid w:val="003A36E3"/>
    <w:rsid w:val="003B2813"/>
    <w:rsid w:val="003B3367"/>
    <w:rsid w:val="003B4FCB"/>
    <w:rsid w:val="003B6474"/>
    <w:rsid w:val="003B6D74"/>
    <w:rsid w:val="003C0C28"/>
    <w:rsid w:val="003C5C8C"/>
    <w:rsid w:val="003C70D2"/>
    <w:rsid w:val="003D43C6"/>
    <w:rsid w:val="003D45D8"/>
    <w:rsid w:val="003F0603"/>
    <w:rsid w:val="003F728D"/>
    <w:rsid w:val="003F7CD8"/>
    <w:rsid w:val="00400F4D"/>
    <w:rsid w:val="00403AF5"/>
    <w:rsid w:val="004051EE"/>
    <w:rsid w:val="0041016F"/>
    <w:rsid w:val="0041316E"/>
    <w:rsid w:val="00421EB7"/>
    <w:rsid w:val="0042228C"/>
    <w:rsid w:val="00422ACC"/>
    <w:rsid w:val="00423AE6"/>
    <w:rsid w:val="00424F28"/>
    <w:rsid w:val="004316A8"/>
    <w:rsid w:val="00431BFD"/>
    <w:rsid w:val="004352A4"/>
    <w:rsid w:val="0043669B"/>
    <w:rsid w:val="00440639"/>
    <w:rsid w:val="004513EF"/>
    <w:rsid w:val="0045243A"/>
    <w:rsid w:val="0045448F"/>
    <w:rsid w:val="0045712C"/>
    <w:rsid w:val="00457E7F"/>
    <w:rsid w:val="004612FF"/>
    <w:rsid w:val="00463679"/>
    <w:rsid w:val="004642EC"/>
    <w:rsid w:val="00466715"/>
    <w:rsid w:val="00466FEE"/>
    <w:rsid w:val="0047335C"/>
    <w:rsid w:val="0047535A"/>
    <w:rsid w:val="00482B5B"/>
    <w:rsid w:val="0048444C"/>
    <w:rsid w:val="0049003B"/>
    <w:rsid w:val="00491FBC"/>
    <w:rsid w:val="00493AC4"/>
    <w:rsid w:val="00497619"/>
    <w:rsid w:val="004A30AD"/>
    <w:rsid w:val="004A4CC0"/>
    <w:rsid w:val="004B6C88"/>
    <w:rsid w:val="004C27B6"/>
    <w:rsid w:val="004C3F04"/>
    <w:rsid w:val="004C4950"/>
    <w:rsid w:val="004C53A4"/>
    <w:rsid w:val="004C5ACE"/>
    <w:rsid w:val="004D1D52"/>
    <w:rsid w:val="004D22DD"/>
    <w:rsid w:val="004D2897"/>
    <w:rsid w:val="004D31A0"/>
    <w:rsid w:val="004D6E6E"/>
    <w:rsid w:val="004E3BB5"/>
    <w:rsid w:val="004E7418"/>
    <w:rsid w:val="004F0E26"/>
    <w:rsid w:val="004F15DF"/>
    <w:rsid w:val="004F215E"/>
    <w:rsid w:val="004F2F28"/>
    <w:rsid w:val="004F3899"/>
    <w:rsid w:val="00503AB5"/>
    <w:rsid w:val="00505B1E"/>
    <w:rsid w:val="00506B31"/>
    <w:rsid w:val="00507E74"/>
    <w:rsid w:val="005209F4"/>
    <w:rsid w:val="00523152"/>
    <w:rsid w:val="005270BE"/>
    <w:rsid w:val="005310E4"/>
    <w:rsid w:val="005311DD"/>
    <w:rsid w:val="00531367"/>
    <w:rsid w:val="00540B91"/>
    <w:rsid w:val="00550139"/>
    <w:rsid w:val="005558E9"/>
    <w:rsid w:val="00561F5B"/>
    <w:rsid w:val="00580B66"/>
    <w:rsid w:val="005817C5"/>
    <w:rsid w:val="00582C33"/>
    <w:rsid w:val="00586F3A"/>
    <w:rsid w:val="00594883"/>
    <w:rsid w:val="005957E9"/>
    <w:rsid w:val="00597F84"/>
    <w:rsid w:val="005B058E"/>
    <w:rsid w:val="005B0E69"/>
    <w:rsid w:val="005B2796"/>
    <w:rsid w:val="005B49F0"/>
    <w:rsid w:val="005B61FD"/>
    <w:rsid w:val="005C242E"/>
    <w:rsid w:val="005C7FD6"/>
    <w:rsid w:val="005D0ED3"/>
    <w:rsid w:val="005D5D2A"/>
    <w:rsid w:val="005D681A"/>
    <w:rsid w:val="005D6C76"/>
    <w:rsid w:val="005E0811"/>
    <w:rsid w:val="005E245D"/>
    <w:rsid w:val="005E51C9"/>
    <w:rsid w:val="005E7457"/>
    <w:rsid w:val="005F058F"/>
    <w:rsid w:val="005F693C"/>
    <w:rsid w:val="0060047B"/>
    <w:rsid w:val="006057E2"/>
    <w:rsid w:val="00611227"/>
    <w:rsid w:val="0061178A"/>
    <w:rsid w:val="00630AD3"/>
    <w:rsid w:val="006569F2"/>
    <w:rsid w:val="00661200"/>
    <w:rsid w:val="00661DB3"/>
    <w:rsid w:val="0067166A"/>
    <w:rsid w:val="006777B4"/>
    <w:rsid w:val="00680FEF"/>
    <w:rsid w:val="00682E20"/>
    <w:rsid w:val="0069089E"/>
    <w:rsid w:val="0069143C"/>
    <w:rsid w:val="00696334"/>
    <w:rsid w:val="006A072B"/>
    <w:rsid w:val="006A1794"/>
    <w:rsid w:val="006A5B29"/>
    <w:rsid w:val="006A5D42"/>
    <w:rsid w:val="006A7860"/>
    <w:rsid w:val="006B20FD"/>
    <w:rsid w:val="006B5699"/>
    <w:rsid w:val="006C210C"/>
    <w:rsid w:val="006C21D3"/>
    <w:rsid w:val="006C3DD0"/>
    <w:rsid w:val="006D69AE"/>
    <w:rsid w:val="006D7D8A"/>
    <w:rsid w:val="006E1EBE"/>
    <w:rsid w:val="006E7058"/>
    <w:rsid w:val="006F010C"/>
    <w:rsid w:val="006F0C47"/>
    <w:rsid w:val="006F4B62"/>
    <w:rsid w:val="006F4D62"/>
    <w:rsid w:val="006F63AC"/>
    <w:rsid w:val="00706403"/>
    <w:rsid w:val="0071361B"/>
    <w:rsid w:val="00717D61"/>
    <w:rsid w:val="0072168C"/>
    <w:rsid w:val="00725D8F"/>
    <w:rsid w:val="00726537"/>
    <w:rsid w:val="007275CF"/>
    <w:rsid w:val="00731F7C"/>
    <w:rsid w:val="007321E7"/>
    <w:rsid w:val="00732AB9"/>
    <w:rsid w:val="007349BD"/>
    <w:rsid w:val="007411AC"/>
    <w:rsid w:val="00743E06"/>
    <w:rsid w:val="00744E9F"/>
    <w:rsid w:val="00747116"/>
    <w:rsid w:val="007474B6"/>
    <w:rsid w:val="00751E21"/>
    <w:rsid w:val="0075248E"/>
    <w:rsid w:val="00753960"/>
    <w:rsid w:val="00755238"/>
    <w:rsid w:val="00756C5F"/>
    <w:rsid w:val="00771D30"/>
    <w:rsid w:val="00775B53"/>
    <w:rsid w:val="00775DF3"/>
    <w:rsid w:val="00781596"/>
    <w:rsid w:val="007817C3"/>
    <w:rsid w:val="00781E49"/>
    <w:rsid w:val="007820B4"/>
    <w:rsid w:val="00785F80"/>
    <w:rsid w:val="0079018D"/>
    <w:rsid w:val="00791E38"/>
    <w:rsid w:val="00795382"/>
    <w:rsid w:val="00795E14"/>
    <w:rsid w:val="007A186E"/>
    <w:rsid w:val="007B3D8B"/>
    <w:rsid w:val="007B6FF4"/>
    <w:rsid w:val="007C457A"/>
    <w:rsid w:val="007D0D9E"/>
    <w:rsid w:val="007D1515"/>
    <w:rsid w:val="007D1CE2"/>
    <w:rsid w:val="007D25F7"/>
    <w:rsid w:val="007D2CC5"/>
    <w:rsid w:val="007D2D7B"/>
    <w:rsid w:val="007D6C1F"/>
    <w:rsid w:val="007E4025"/>
    <w:rsid w:val="007E477D"/>
    <w:rsid w:val="007E5131"/>
    <w:rsid w:val="007E7DF8"/>
    <w:rsid w:val="007F29BF"/>
    <w:rsid w:val="00800128"/>
    <w:rsid w:val="00803770"/>
    <w:rsid w:val="00812199"/>
    <w:rsid w:val="008125C3"/>
    <w:rsid w:val="00817CF7"/>
    <w:rsid w:val="0082269E"/>
    <w:rsid w:val="0083140B"/>
    <w:rsid w:val="0083431B"/>
    <w:rsid w:val="00835082"/>
    <w:rsid w:val="00840AC7"/>
    <w:rsid w:val="00840E58"/>
    <w:rsid w:val="00842B9A"/>
    <w:rsid w:val="008446F6"/>
    <w:rsid w:val="008449EB"/>
    <w:rsid w:val="00846926"/>
    <w:rsid w:val="00847E04"/>
    <w:rsid w:val="00847EEB"/>
    <w:rsid w:val="00853B3F"/>
    <w:rsid w:val="0085626F"/>
    <w:rsid w:val="008608A0"/>
    <w:rsid w:val="00861441"/>
    <w:rsid w:val="00866068"/>
    <w:rsid w:val="00871A01"/>
    <w:rsid w:val="00871E92"/>
    <w:rsid w:val="00872D53"/>
    <w:rsid w:val="00874924"/>
    <w:rsid w:val="00875902"/>
    <w:rsid w:val="00890D84"/>
    <w:rsid w:val="00892C0F"/>
    <w:rsid w:val="0089545A"/>
    <w:rsid w:val="0089665B"/>
    <w:rsid w:val="008A5980"/>
    <w:rsid w:val="008A5ECD"/>
    <w:rsid w:val="008A7F03"/>
    <w:rsid w:val="008B30C1"/>
    <w:rsid w:val="008B6C8E"/>
    <w:rsid w:val="008C01CD"/>
    <w:rsid w:val="008C5E89"/>
    <w:rsid w:val="008C657B"/>
    <w:rsid w:val="008E12BA"/>
    <w:rsid w:val="008E3818"/>
    <w:rsid w:val="008E6860"/>
    <w:rsid w:val="008F01F9"/>
    <w:rsid w:val="008F0489"/>
    <w:rsid w:val="008F5EB2"/>
    <w:rsid w:val="00900D8A"/>
    <w:rsid w:val="00903ABE"/>
    <w:rsid w:val="009058B2"/>
    <w:rsid w:val="009130C3"/>
    <w:rsid w:val="0091566A"/>
    <w:rsid w:val="0092283F"/>
    <w:rsid w:val="00923F24"/>
    <w:rsid w:val="009251BC"/>
    <w:rsid w:val="0093239F"/>
    <w:rsid w:val="00933E24"/>
    <w:rsid w:val="00934EA4"/>
    <w:rsid w:val="00946A9C"/>
    <w:rsid w:val="00951259"/>
    <w:rsid w:val="0095688A"/>
    <w:rsid w:val="00966391"/>
    <w:rsid w:val="00970BBB"/>
    <w:rsid w:val="00971383"/>
    <w:rsid w:val="00972C9D"/>
    <w:rsid w:val="009818E5"/>
    <w:rsid w:val="009820E5"/>
    <w:rsid w:val="00984610"/>
    <w:rsid w:val="00994EB9"/>
    <w:rsid w:val="00996A58"/>
    <w:rsid w:val="00996D89"/>
    <w:rsid w:val="00997B25"/>
    <w:rsid w:val="00997DC4"/>
    <w:rsid w:val="009A05C1"/>
    <w:rsid w:val="009B62F9"/>
    <w:rsid w:val="009C03B5"/>
    <w:rsid w:val="009C7A73"/>
    <w:rsid w:val="009D12D4"/>
    <w:rsid w:val="009D198B"/>
    <w:rsid w:val="009D3AD6"/>
    <w:rsid w:val="009E17C4"/>
    <w:rsid w:val="009E613F"/>
    <w:rsid w:val="009E61A3"/>
    <w:rsid w:val="009E6F71"/>
    <w:rsid w:val="009F0002"/>
    <w:rsid w:val="009F5930"/>
    <w:rsid w:val="00A02732"/>
    <w:rsid w:val="00A11F6D"/>
    <w:rsid w:val="00A1209D"/>
    <w:rsid w:val="00A1273D"/>
    <w:rsid w:val="00A15A2C"/>
    <w:rsid w:val="00A17087"/>
    <w:rsid w:val="00A1747D"/>
    <w:rsid w:val="00A17B1D"/>
    <w:rsid w:val="00A25EFE"/>
    <w:rsid w:val="00A3079D"/>
    <w:rsid w:val="00A30B0D"/>
    <w:rsid w:val="00A30F0B"/>
    <w:rsid w:val="00A35BE7"/>
    <w:rsid w:val="00A367D4"/>
    <w:rsid w:val="00A41892"/>
    <w:rsid w:val="00A53B86"/>
    <w:rsid w:val="00A53FF8"/>
    <w:rsid w:val="00A55FD3"/>
    <w:rsid w:val="00A60204"/>
    <w:rsid w:val="00A603F5"/>
    <w:rsid w:val="00A66057"/>
    <w:rsid w:val="00A67CD6"/>
    <w:rsid w:val="00A7267C"/>
    <w:rsid w:val="00A82BB9"/>
    <w:rsid w:val="00A90785"/>
    <w:rsid w:val="00A9204E"/>
    <w:rsid w:val="00AA1A2C"/>
    <w:rsid w:val="00AB15F2"/>
    <w:rsid w:val="00AB1E29"/>
    <w:rsid w:val="00AB7159"/>
    <w:rsid w:val="00AC6870"/>
    <w:rsid w:val="00AD0A83"/>
    <w:rsid w:val="00AD527F"/>
    <w:rsid w:val="00AE32E1"/>
    <w:rsid w:val="00AF0FBB"/>
    <w:rsid w:val="00AF5613"/>
    <w:rsid w:val="00AF6B36"/>
    <w:rsid w:val="00AF6B3F"/>
    <w:rsid w:val="00AF6FB9"/>
    <w:rsid w:val="00B0236D"/>
    <w:rsid w:val="00B0327E"/>
    <w:rsid w:val="00B0489A"/>
    <w:rsid w:val="00B13221"/>
    <w:rsid w:val="00B1462F"/>
    <w:rsid w:val="00B363B1"/>
    <w:rsid w:val="00B37AEC"/>
    <w:rsid w:val="00B413B4"/>
    <w:rsid w:val="00B45E42"/>
    <w:rsid w:val="00B500A5"/>
    <w:rsid w:val="00B5138A"/>
    <w:rsid w:val="00B53714"/>
    <w:rsid w:val="00B65241"/>
    <w:rsid w:val="00B70466"/>
    <w:rsid w:val="00B745D4"/>
    <w:rsid w:val="00B76E5D"/>
    <w:rsid w:val="00B83C7F"/>
    <w:rsid w:val="00B87F7B"/>
    <w:rsid w:val="00B90DF2"/>
    <w:rsid w:val="00B91B50"/>
    <w:rsid w:val="00B93D26"/>
    <w:rsid w:val="00B9624C"/>
    <w:rsid w:val="00BA1553"/>
    <w:rsid w:val="00BA1962"/>
    <w:rsid w:val="00BA3598"/>
    <w:rsid w:val="00BA7778"/>
    <w:rsid w:val="00BA77FE"/>
    <w:rsid w:val="00BA7B67"/>
    <w:rsid w:val="00BB36AA"/>
    <w:rsid w:val="00BB5CD3"/>
    <w:rsid w:val="00BB5F24"/>
    <w:rsid w:val="00BB6EE3"/>
    <w:rsid w:val="00BC4B1E"/>
    <w:rsid w:val="00BD06F0"/>
    <w:rsid w:val="00BD306B"/>
    <w:rsid w:val="00BD7BDA"/>
    <w:rsid w:val="00BE5B41"/>
    <w:rsid w:val="00BE695F"/>
    <w:rsid w:val="00BF03D3"/>
    <w:rsid w:val="00BF163B"/>
    <w:rsid w:val="00BF2AFF"/>
    <w:rsid w:val="00BF5031"/>
    <w:rsid w:val="00BF7CB0"/>
    <w:rsid w:val="00C115AF"/>
    <w:rsid w:val="00C122CD"/>
    <w:rsid w:val="00C25A9C"/>
    <w:rsid w:val="00C26AC4"/>
    <w:rsid w:val="00C34492"/>
    <w:rsid w:val="00C360EB"/>
    <w:rsid w:val="00C4279A"/>
    <w:rsid w:val="00C4374B"/>
    <w:rsid w:val="00C46ECC"/>
    <w:rsid w:val="00C621EC"/>
    <w:rsid w:val="00C72C8B"/>
    <w:rsid w:val="00C7739D"/>
    <w:rsid w:val="00C778E5"/>
    <w:rsid w:val="00C77F19"/>
    <w:rsid w:val="00C91F8C"/>
    <w:rsid w:val="00C93923"/>
    <w:rsid w:val="00CA7953"/>
    <w:rsid w:val="00CB32A5"/>
    <w:rsid w:val="00CB435C"/>
    <w:rsid w:val="00CC1987"/>
    <w:rsid w:val="00CC4A20"/>
    <w:rsid w:val="00CC7C99"/>
    <w:rsid w:val="00CD1C49"/>
    <w:rsid w:val="00CD479E"/>
    <w:rsid w:val="00CD668A"/>
    <w:rsid w:val="00CE30A6"/>
    <w:rsid w:val="00CF0819"/>
    <w:rsid w:val="00CF26D1"/>
    <w:rsid w:val="00CF7E41"/>
    <w:rsid w:val="00D0515E"/>
    <w:rsid w:val="00D06093"/>
    <w:rsid w:val="00D06E13"/>
    <w:rsid w:val="00D151FE"/>
    <w:rsid w:val="00D26096"/>
    <w:rsid w:val="00D30E50"/>
    <w:rsid w:val="00D336B9"/>
    <w:rsid w:val="00D42560"/>
    <w:rsid w:val="00D4557F"/>
    <w:rsid w:val="00D57A8C"/>
    <w:rsid w:val="00D57CFD"/>
    <w:rsid w:val="00D66F74"/>
    <w:rsid w:val="00D67B13"/>
    <w:rsid w:val="00D7288E"/>
    <w:rsid w:val="00D72AA5"/>
    <w:rsid w:val="00D7371B"/>
    <w:rsid w:val="00D75E4C"/>
    <w:rsid w:val="00DA3A94"/>
    <w:rsid w:val="00DA3AF7"/>
    <w:rsid w:val="00DB1EAD"/>
    <w:rsid w:val="00DB649E"/>
    <w:rsid w:val="00DC05B6"/>
    <w:rsid w:val="00DC553A"/>
    <w:rsid w:val="00DC650C"/>
    <w:rsid w:val="00DC7D9E"/>
    <w:rsid w:val="00DD0B51"/>
    <w:rsid w:val="00DD47FD"/>
    <w:rsid w:val="00DD499A"/>
    <w:rsid w:val="00DD7EC6"/>
    <w:rsid w:val="00DE2859"/>
    <w:rsid w:val="00DE4E17"/>
    <w:rsid w:val="00DE7512"/>
    <w:rsid w:val="00DF1B12"/>
    <w:rsid w:val="00DF2E96"/>
    <w:rsid w:val="00DF2FAC"/>
    <w:rsid w:val="00DF5206"/>
    <w:rsid w:val="00E1252E"/>
    <w:rsid w:val="00E1283C"/>
    <w:rsid w:val="00E1370F"/>
    <w:rsid w:val="00E210AB"/>
    <w:rsid w:val="00E21456"/>
    <w:rsid w:val="00E241F4"/>
    <w:rsid w:val="00E27A55"/>
    <w:rsid w:val="00E32659"/>
    <w:rsid w:val="00E348D8"/>
    <w:rsid w:val="00E34A82"/>
    <w:rsid w:val="00E3675A"/>
    <w:rsid w:val="00E42585"/>
    <w:rsid w:val="00E47E99"/>
    <w:rsid w:val="00E52F6F"/>
    <w:rsid w:val="00E53B92"/>
    <w:rsid w:val="00E55401"/>
    <w:rsid w:val="00E623D6"/>
    <w:rsid w:val="00E64743"/>
    <w:rsid w:val="00E72E23"/>
    <w:rsid w:val="00E768B0"/>
    <w:rsid w:val="00E76E4D"/>
    <w:rsid w:val="00E80EC3"/>
    <w:rsid w:val="00E852E7"/>
    <w:rsid w:val="00E8561A"/>
    <w:rsid w:val="00E878AE"/>
    <w:rsid w:val="00E87D50"/>
    <w:rsid w:val="00EA2D17"/>
    <w:rsid w:val="00EA2EF9"/>
    <w:rsid w:val="00EA3B1D"/>
    <w:rsid w:val="00EB018E"/>
    <w:rsid w:val="00EB061F"/>
    <w:rsid w:val="00EB09BF"/>
    <w:rsid w:val="00EB4731"/>
    <w:rsid w:val="00EB4BA3"/>
    <w:rsid w:val="00EB4E6B"/>
    <w:rsid w:val="00EC0235"/>
    <w:rsid w:val="00EC0F35"/>
    <w:rsid w:val="00EC2587"/>
    <w:rsid w:val="00EC2C78"/>
    <w:rsid w:val="00EC7241"/>
    <w:rsid w:val="00ED0CEB"/>
    <w:rsid w:val="00EE0507"/>
    <w:rsid w:val="00EE5291"/>
    <w:rsid w:val="00EF2D21"/>
    <w:rsid w:val="00F02499"/>
    <w:rsid w:val="00F04AB3"/>
    <w:rsid w:val="00F1189A"/>
    <w:rsid w:val="00F169BF"/>
    <w:rsid w:val="00F17C4B"/>
    <w:rsid w:val="00F26F3F"/>
    <w:rsid w:val="00F27011"/>
    <w:rsid w:val="00F31012"/>
    <w:rsid w:val="00F34DA5"/>
    <w:rsid w:val="00F366D1"/>
    <w:rsid w:val="00F36A8D"/>
    <w:rsid w:val="00F441C3"/>
    <w:rsid w:val="00F44F0F"/>
    <w:rsid w:val="00F52326"/>
    <w:rsid w:val="00F54402"/>
    <w:rsid w:val="00F60E80"/>
    <w:rsid w:val="00F75945"/>
    <w:rsid w:val="00F814F7"/>
    <w:rsid w:val="00F81A85"/>
    <w:rsid w:val="00F855D6"/>
    <w:rsid w:val="00F92A41"/>
    <w:rsid w:val="00F92B3E"/>
    <w:rsid w:val="00F94BE8"/>
    <w:rsid w:val="00F965B0"/>
    <w:rsid w:val="00FA260B"/>
    <w:rsid w:val="00FA5955"/>
    <w:rsid w:val="00FB04AB"/>
    <w:rsid w:val="00FB21DB"/>
    <w:rsid w:val="00FB647A"/>
    <w:rsid w:val="00FB74E3"/>
    <w:rsid w:val="00FD0C9C"/>
    <w:rsid w:val="00FD1E87"/>
    <w:rsid w:val="00FE155B"/>
    <w:rsid w:val="00FF00E4"/>
    <w:rsid w:val="00FF1545"/>
    <w:rsid w:val="00FF2025"/>
    <w:rsid w:val="00FF310C"/>
    <w:rsid w:val="00FF7F6A"/>
    <w:rsid w:val="01E34908"/>
    <w:rsid w:val="02115431"/>
    <w:rsid w:val="025F6687"/>
    <w:rsid w:val="02A5680A"/>
    <w:rsid w:val="03511B89"/>
    <w:rsid w:val="06EE66E7"/>
    <w:rsid w:val="07503C26"/>
    <w:rsid w:val="07DD6B13"/>
    <w:rsid w:val="086444F8"/>
    <w:rsid w:val="09E15187"/>
    <w:rsid w:val="0AC21D01"/>
    <w:rsid w:val="0AD16FAB"/>
    <w:rsid w:val="0BD22E14"/>
    <w:rsid w:val="0BFD7E73"/>
    <w:rsid w:val="0CD07BC6"/>
    <w:rsid w:val="0DF13F92"/>
    <w:rsid w:val="0E50231C"/>
    <w:rsid w:val="0F297B14"/>
    <w:rsid w:val="0F96566E"/>
    <w:rsid w:val="100A76AA"/>
    <w:rsid w:val="102B0AE4"/>
    <w:rsid w:val="11495030"/>
    <w:rsid w:val="161D4F98"/>
    <w:rsid w:val="166A5B9A"/>
    <w:rsid w:val="16725084"/>
    <w:rsid w:val="17D758B5"/>
    <w:rsid w:val="194F5F64"/>
    <w:rsid w:val="19BE4DEC"/>
    <w:rsid w:val="19EB7601"/>
    <w:rsid w:val="1AB34E24"/>
    <w:rsid w:val="1ABC7601"/>
    <w:rsid w:val="1C384A78"/>
    <w:rsid w:val="1C4C3426"/>
    <w:rsid w:val="1CDB4260"/>
    <w:rsid w:val="1DA07278"/>
    <w:rsid w:val="1E0F257C"/>
    <w:rsid w:val="1E5F2291"/>
    <w:rsid w:val="1E6E7411"/>
    <w:rsid w:val="23641631"/>
    <w:rsid w:val="242E7CEF"/>
    <w:rsid w:val="24502E03"/>
    <w:rsid w:val="256C0C4B"/>
    <w:rsid w:val="25832EBF"/>
    <w:rsid w:val="27037BA1"/>
    <w:rsid w:val="273410BC"/>
    <w:rsid w:val="27BA086D"/>
    <w:rsid w:val="27BC618F"/>
    <w:rsid w:val="28604851"/>
    <w:rsid w:val="28CF459F"/>
    <w:rsid w:val="2A7E5072"/>
    <w:rsid w:val="2BC65249"/>
    <w:rsid w:val="2DA17C59"/>
    <w:rsid w:val="2DC46A5C"/>
    <w:rsid w:val="2DD8073B"/>
    <w:rsid w:val="2E6E2500"/>
    <w:rsid w:val="2EA23CBD"/>
    <w:rsid w:val="2F49484C"/>
    <w:rsid w:val="30020C06"/>
    <w:rsid w:val="306C244C"/>
    <w:rsid w:val="30EA78F0"/>
    <w:rsid w:val="3118254B"/>
    <w:rsid w:val="315A3348"/>
    <w:rsid w:val="31BF2194"/>
    <w:rsid w:val="328B100D"/>
    <w:rsid w:val="33046151"/>
    <w:rsid w:val="33262171"/>
    <w:rsid w:val="341E04B7"/>
    <w:rsid w:val="34474804"/>
    <w:rsid w:val="34634374"/>
    <w:rsid w:val="351F0F0F"/>
    <w:rsid w:val="354734F0"/>
    <w:rsid w:val="35C50385"/>
    <w:rsid w:val="366B553D"/>
    <w:rsid w:val="37061CCF"/>
    <w:rsid w:val="37153298"/>
    <w:rsid w:val="37214D70"/>
    <w:rsid w:val="38634E68"/>
    <w:rsid w:val="38B813DB"/>
    <w:rsid w:val="39FD1721"/>
    <w:rsid w:val="3AE94764"/>
    <w:rsid w:val="3B8C7328"/>
    <w:rsid w:val="3DE82063"/>
    <w:rsid w:val="3E0D6A0B"/>
    <w:rsid w:val="3F4422B0"/>
    <w:rsid w:val="40D93721"/>
    <w:rsid w:val="40EC419B"/>
    <w:rsid w:val="438C4819"/>
    <w:rsid w:val="4405544A"/>
    <w:rsid w:val="440B1B14"/>
    <w:rsid w:val="446A2E5F"/>
    <w:rsid w:val="44B83E5C"/>
    <w:rsid w:val="44D3620E"/>
    <w:rsid w:val="44E402BF"/>
    <w:rsid w:val="469A2978"/>
    <w:rsid w:val="469F5B2E"/>
    <w:rsid w:val="46FF41D6"/>
    <w:rsid w:val="474E6998"/>
    <w:rsid w:val="47D71701"/>
    <w:rsid w:val="48700B5A"/>
    <w:rsid w:val="49844871"/>
    <w:rsid w:val="4CDD26B1"/>
    <w:rsid w:val="4DB65709"/>
    <w:rsid w:val="4DDD72F9"/>
    <w:rsid w:val="50B821F3"/>
    <w:rsid w:val="51E22C73"/>
    <w:rsid w:val="52227ED6"/>
    <w:rsid w:val="53184B40"/>
    <w:rsid w:val="53816F25"/>
    <w:rsid w:val="53973169"/>
    <w:rsid w:val="53AC26B3"/>
    <w:rsid w:val="53E43ECF"/>
    <w:rsid w:val="540D76B9"/>
    <w:rsid w:val="547018DD"/>
    <w:rsid w:val="55BA3703"/>
    <w:rsid w:val="572C7E66"/>
    <w:rsid w:val="57427A9B"/>
    <w:rsid w:val="591C28C2"/>
    <w:rsid w:val="59734CA6"/>
    <w:rsid w:val="5BDD58B2"/>
    <w:rsid w:val="5D5A6E7B"/>
    <w:rsid w:val="5DA11BC0"/>
    <w:rsid w:val="5DC14B3F"/>
    <w:rsid w:val="5EFF434C"/>
    <w:rsid w:val="619F3D6C"/>
    <w:rsid w:val="61B9015C"/>
    <w:rsid w:val="61DA1512"/>
    <w:rsid w:val="62200047"/>
    <w:rsid w:val="633B578C"/>
    <w:rsid w:val="645B6D0E"/>
    <w:rsid w:val="659F147F"/>
    <w:rsid w:val="66764C43"/>
    <w:rsid w:val="679C50EE"/>
    <w:rsid w:val="67DA1BC7"/>
    <w:rsid w:val="687A2776"/>
    <w:rsid w:val="68BE55DB"/>
    <w:rsid w:val="69630F46"/>
    <w:rsid w:val="6A0E6DDB"/>
    <w:rsid w:val="6B31275A"/>
    <w:rsid w:val="6B8C4130"/>
    <w:rsid w:val="6D7F5EF9"/>
    <w:rsid w:val="6DBF6ADB"/>
    <w:rsid w:val="6ECD4BC4"/>
    <w:rsid w:val="6F924D79"/>
    <w:rsid w:val="6FBE5B9D"/>
    <w:rsid w:val="7206316F"/>
    <w:rsid w:val="720D1B47"/>
    <w:rsid w:val="729F04F0"/>
    <w:rsid w:val="7352716B"/>
    <w:rsid w:val="74B504E0"/>
    <w:rsid w:val="77402640"/>
    <w:rsid w:val="787E68CC"/>
    <w:rsid w:val="795675E7"/>
    <w:rsid w:val="798C1C47"/>
    <w:rsid w:val="7A0F1AA9"/>
    <w:rsid w:val="7CC107D8"/>
    <w:rsid w:val="7EA40B8B"/>
    <w:rsid w:val="7EAB36AF"/>
    <w:rsid w:val="7F437C8A"/>
    <w:rsid w:val="7F702CFC"/>
    <w:rsid w:val="7F8F33CB"/>
    <w:rsid w:val="7FBB047C"/>
    <w:rsid w:val="7FBF4A40"/>
    <w:rsid w:val="EF7BB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121"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30"/>
    <w:qFormat/>
    <w:uiPriority w:val="0"/>
    <w:pPr>
      <w:keepNext/>
      <w:keepLines/>
      <w:spacing w:before="340" w:after="330"/>
      <w:ind w:firstLine="0" w:firstLineChars="0"/>
      <w:jc w:val="center"/>
      <w:outlineLvl w:val="0"/>
    </w:pPr>
    <w:rPr>
      <w:rFonts w:eastAsia="微软雅黑"/>
      <w:b/>
      <w:bCs/>
      <w:kern w:val="44"/>
      <w:sz w:val="36"/>
      <w:szCs w:val="44"/>
    </w:rPr>
  </w:style>
  <w:style w:type="paragraph" w:styleId="3">
    <w:name w:val="heading 2"/>
    <w:basedOn w:val="1"/>
    <w:next w:val="1"/>
    <w:link w:val="34"/>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Indent"/>
    <w:basedOn w:val="1"/>
    <w:qFormat/>
    <w:uiPriority w:val="0"/>
    <w:pPr>
      <w:spacing w:after="120"/>
      <w:ind w:left="420" w:leftChars="200"/>
    </w:pPr>
  </w:style>
  <w:style w:type="paragraph" w:styleId="7">
    <w:name w:val="Date"/>
    <w:basedOn w:val="1"/>
    <w:next w:val="1"/>
    <w:link w:val="28"/>
    <w:qFormat/>
    <w:uiPriority w:val="0"/>
    <w:pPr>
      <w:ind w:left="100" w:leftChars="2500"/>
    </w:pPr>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rFonts w:eastAsia="黑体"/>
      <w:b/>
    </w:rPr>
  </w:style>
  <w:style w:type="paragraph" w:styleId="12">
    <w:name w:val="toc 2"/>
    <w:basedOn w:val="1"/>
    <w:next w:val="1"/>
    <w:qFormat/>
    <w:uiPriority w:val="39"/>
    <w:pPr>
      <w:ind w:left="420" w:leftChars="200"/>
    </w:pPr>
  </w:style>
  <w:style w:type="paragraph" w:styleId="13">
    <w:name w:val="Normal (Web)"/>
    <w:basedOn w:val="1"/>
    <w:qFormat/>
    <w:uiPriority w:val="99"/>
    <w:pPr>
      <w:spacing w:before="100" w:beforeAutospacing="1" w:after="100" w:afterAutospacing="1"/>
      <w:jc w:val="left"/>
    </w:pPr>
    <w:rPr>
      <w:kern w:val="0"/>
      <w:sz w:val="24"/>
    </w:rPr>
  </w:style>
  <w:style w:type="paragraph" w:styleId="14">
    <w:name w:val="Title"/>
    <w:next w:val="1"/>
    <w:qFormat/>
    <w:uiPriority w:val="10"/>
    <w:pPr>
      <w:spacing w:before="100" w:beforeAutospacing="1" w:after="100" w:afterAutospacing="1"/>
      <w:jc w:val="center"/>
      <w:outlineLvl w:val="0"/>
    </w:pPr>
    <w:rPr>
      <w:rFonts w:ascii="华文宋体" w:hAnsi="华文宋体" w:eastAsia="华文宋体" w:cs="Times New Roman"/>
      <w:b/>
      <w:bCs/>
      <w:kern w:val="2"/>
      <w:sz w:val="48"/>
      <w:szCs w:val="32"/>
      <w:lang w:val="en-US" w:eastAsia="zh-CN" w:bidi="ar-SA"/>
    </w:rPr>
  </w:style>
  <w:style w:type="paragraph" w:styleId="15">
    <w:name w:val="annotation subject"/>
    <w:basedOn w:val="5"/>
    <w:next w:val="5"/>
    <w:link w:val="27"/>
    <w:qFormat/>
    <w:uiPriority w:val="0"/>
    <w:rPr>
      <w:b/>
      <w:bCs/>
    </w:rPr>
  </w:style>
  <w:style w:type="paragraph" w:styleId="16">
    <w:name w:val="Body Text First Indent 2"/>
    <w:basedOn w:val="6"/>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qFormat/>
    <w:uiPriority w:val="0"/>
  </w:style>
  <w:style w:type="character" w:styleId="22">
    <w:name w:val="Hyperlink"/>
    <w:unhideWhenUsed/>
    <w:qFormat/>
    <w:uiPriority w:val="99"/>
    <w:rPr>
      <w:color w:val="0563C1"/>
      <w:u w:val="single"/>
    </w:rPr>
  </w:style>
  <w:style w:type="character" w:styleId="23">
    <w:name w:val="annotation reference"/>
    <w:qFormat/>
    <w:uiPriority w:val="0"/>
    <w:rPr>
      <w:sz w:val="21"/>
      <w:szCs w:val="21"/>
    </w:rPr>
  </w:style>
  <w:style w:type="paragraph" w:customStyle="1" w:styleId="24">
    <w:name w:val="样式1"/>
    <w:basedOn w:val="3"/>
    <w:link w:val="32"/>
    <w:qFormat/>
    <w:uiPriority w:val="0"/>
    <w:pPr>
      <w:numPr>
        <w:ilvl w:val="0"/>
        <w:numId w:val="1"/>
      </w:numPr>
    </w:pPr>
    <w:rPr>
      <w:rFonts w:ascii="黑体" w:hAnsi="黑体" w:eastAsia="黑体"/>
      <w:sz w:val="30"/>
      <w:szCs w:val="30"/>
    </w:rPr>
  </w:style>
  <w:style w:type="paragraph" w:customStyle="1" w:styleId="25">
    <w:name w:val="章节居中"/>
    <w:basedOn w:val="1"/>
    <w:link w:val="31"/>
    <w:qFormat/>
    <w:uiPriority w:val="0"/>
    <w:pPr>
      <w:autoSpaceDE w:val="0"/>
      <w:autoSpaceDN w:val="0"/>
      <w:spacing w:before="50" w:beforeLines="50" w:after="50" w:afterLines="50"/>
      <w:jc w:val="center"/>
    </w:pPr>
    <w:rPr>
      <w:rFonts w:ascii="黑体" w:hAnsi="黑体" w:eastAsia="黑体" w:cs="宋体"/>
      <w:kern w:val="0"/>
      <w:sz w:val="24"/>
      <w:szCs w:val="22"/>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批注主题 字符"/>
    <w:link w:val="15"/>
    <w:qFormat/>
    <w:uiPriority w:val="0"/>
    <w:rPr>
      <w:rFonts w:eastAsia="仿宋_GB2312"/>
      <w:b/>
      <w:bCs/>
      <w:kern w:val="2"/>
      <w:sz w:val="28"/>
      <w:szCs w:val="24"/>
    </w:rPr>
  </w:style>
  <w:style w:type="character" w:customStyle="1" w:styleId="28">
    <w:name w:val="日期 字符"/>
    <w:link w:val="7"/>
    <w:qFormat/>
    <w:uiPriority w:val="0"/>
    <w:rPr>
      <w:rFonts w:eastAsia="仿宋_GB2312"/>
      <w:kern w:val="2"/>
      <w:sz w:val="28"/>
      <w:szCs w:val="24"/>
    </w:rPr>
  </w:style>
  <w:style w:type="character" w:customStyle="1" w:styleId="29">
    <w:name w:val="批注框文本 字符"/>
    <w:link w:val="8"/>
    <w:qFormat/>
    <w:uiPriority w:val="0"/>
    <w:rPr>
      <w:rFonts w:eastAsia="仿宋_GB2312"/>
      <w:kern w:val="2"/>
      <w:sz w:val="18"/>
      <w:szCs w:val="18"/>
    </w:rPr>
  </w:style>
  <w:style w:type="character" w:customStyle="1" w:styleId="30">
    <w:name w:val="标题 1 字符"/>
    <w:link w:val="2"/>
    <w:qFormat/>
    <w:uiPriority w:val="0"/>
    <w:rPr>
      <w:rFonts w:ascii="Times New Roman" w:hAnsi="Times New Roman" w:eastAsia="微软雅黑"/>
      <w:b/>
      <w:bCs/>
      <w:kern w:val="44"/>
      <w:sz w:val="36"/>
      <w:szCs w:val="44"/>
    </w:rPr>
  </w:style>
  <w:style w:type="character" w:customStyle="1" w:styleId="31">
    <w:name w:val="章节居中 字符"/>
    <w:link w:val="25"/>
    <w:qFormat/>
    <w:uiPriority w:val="0"/>
    <w:rPr>
      <w:rFonts w:ascii="黑体" w:hAnsi="黑体" w:eastAsia="黑体" w:cs="宋体"/>
      <w:sz w:val="24"/>
      <w:szCs w:val="22"/>
    </w:rPr>
  </w:style>
  <w:style w:type="character" w:customStyle="1" w:styleId="32">
    <w:name w:val="样式1 字符"/>
    <w:link w:val="24"/>
    <w:qFormat/>
    <w:uiPriority w:val="0"/>
    <w:rPr>
      <w:rFonts w:ascii="黑体" w:hAnsi="黑体" w:eastAsia="黑体"/>
      <w:b/>
      <w:bCs/>
      <w:kern w:val="2"/>
      <w:sz w:val="30"/>
      <w:szCs w:val="30"/>
    </w:rPr>
  </w:style>
  <w:style w:type="character" w:customStyle="1" w:styleId="33">
    <w:name w:val="批注文字 字符"/>
    <w:link w:val="5"/>
    <w:qFormat/>
    <w:uiPriority w:val="0"/>
    <w:rPr>
      <w:rFonts w:eastAsia="仿宋_GB2312"/>
      <w:kern w:val="2"/>
      <w:sz w:val="28"/>
      <w:szCs w:val="24"/>
    </w:rPr>
  </w:style>
  <w:style w:type="character" w:customStyle="1" w:styleId="34">
    <w:name w:val="标题 2 字符"/>
    <w:link w:val="3"/>
    <w:semiHidden/>
    <w:qFormat/>
    <w:uiPriority w:val="0"/>
    <w:rPr>
      <w:rFonts w:ascii="等线 Light" w:hAnsi="等线 Light" w:eastAsia="等线 Light" w:cs="Times New Roman"/>
      <w:b/>
      <w:bCs/>
      <w:kern w:val="2"/>
      <w:sz w:val="32"/>
      <w:szCs w:val="32"/>
    </w:rPr>
  </w:style>
  <w:style w:type="paragraph" w:customStyle="1" w:styleId="35">
    <w:name w:val="修订1"/>
    <w:hidden/>
    <w:semiHidden/>
    <w:qFormat/>
    <w:uiPriority w:val="99"/>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85</Pages>
  <Words>10275</Words>
  <Characters>58571</Characters>
  <Lines>488</Lines>
  <Paragraphs>137</Paragraphs>
  <TotalTime>81</TotalTime>
  <ScaleCrop>false</ScaleCrop>
  <LinksUpToDate>false</LinksUpToDate>
  <CharactersWithSpaces>68709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2020-07-06T18:43:00Z</dcterms:created>
  <dc:creator>陈建春</dc:creator>
  <cp:lastModifiedBy>Administrator</cp:lastModifiedBy>
  <cp:lastPrinted>2023-10-12T18:54:00Z</cp:lastPrinted>
  <dcterms:modified xsi:type="dcterms:W3CDTF">2023-10-18T08:36:50Z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B8803A2D56374C209F004EF737529C37</vt:lpwstr>
  </property>
</Properties>
</file>