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韶关市城市体检项目技术服务采购需求书</w:t>
      </w:r>
    </w:p>
    <w:p>
      <w:pPr>
        <w:spacing w:line="600" w:lineRule="exact"/>
        <w:jc w:val="center"/>
        <w:rPr>
          <w:rFonts w:ascii="方正小标宋简体" w:hAnsi="方正小标宋简体" w:eastAsia="方正小标宋简体" w:cs="方正小标宋简体"/>
          <w:bCs/>
          <w:sz w:val="44"/>
        </w:rPr>
      </w:pP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一、项目概述</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eastAsia="仿宋_GB2312"/>
          <w:sz w:val="32"/>
          <w:szCs w:val="32"/>
        </w:rPr>
        <w:t>韶关市</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城市体检技术服务</w:t>
      </w:r>
      <w:r>
        <w:rPr>
          <w:rFonts w:hint="eastAsia" w:ascii="仿宋_GB2312" w:eastAsia="仿宋_GB2312"/>
          <w:sz w:val="32"/>
          <w:szCs w:val="32"/>
        </w:rPr>
        <w:t>项目</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采购单位：韶关市住房和城乡建设管理局</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二、对中介服务机构的资质要求</w:t>
      </w:r>
    </w:p>
    <w:p>
      <w:pPr>
        <w:spacing w:line="600" w:lineRule="exact"/>
        <w:ind w:firstLine="640"/>
        <w:rPr>
          <w:rFonts w:hint="eastAsia" w:eastAsia="仿宋_GB2312"/>
          <w:lang w:eastAsia="zh-CN"/>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资质要求：</w:t>
      </w:r>
      <w:r>
        <w:rPr>
          <w:rFonts w:hint="eastAsia" w:ascii="仿宋_GB2312" w:hAnsi="仿宋_GB2312" w:eastAsia="仿宋_GB2312" w:cs="仿宋_GB2312"/>
          <w:bCs/>
          <w:sz w:val="32"/>
          <w:szCs w:val="32"/>
          <w:lang w:eastAsia="zh-CN"/>
        </w:rPr>
        <w:t>有效的</w:t>
      </w:r>
      <w:r>
        <w:rPr>
          <w:rFonts w:hint="eastAsia" w:ascii="仿宋_GB2312" w:hAnsi="仿宋_GB2312" w:eastAsia="仿宋_GB2312" w:cs="仿宋_GB2312"/>
          <w:bCs/>
          <w:sz w:val="32"/>
          <w:szCs w:val="32"/>
        </w:rPr>
        <w:t>测绘资质甲级</w:t>
      </w:r>
      <w:r>
        <w:rPr>
          <w:rFonts w:hint="eastAsia" w:ascii="仿宋_GB2312" w:hAnsi="仿宋_GB2312" w:eastAsia="仿宋_GB2312" w:cs="仿宋_GB2312"/>
          <w:bCs/>
          <w:sz w:val="32"/>
          <w:szCs w:val="32"/>
          <w:lang w:eastAsia="zh-CN"/>
        </w:rPr>
        <w:t>证书或城乡规划编制甲级证书；</w:t>
      </w:r>
    </w:p>
    <w:p>
      <w:pPr>
        <w:spacing w:line="600" w:lineRule="exact"/>
        <w:ind w:firstLine="640"/>
        <w:rPr>
          <w:rFonts w:hint="eastAsia" w:ascii="仿宋_GB2312" w:hAnsi="仿宋_GB2312" w:eastAsia="仿宋_GB2312" w:cs="仿宋_GB2312"/>
          <w:sz w:val="32"/>
          <w:szCs w:val="36"/>
          <w:lang w:eastAsia="zh-CN"/>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项目经验要求：有城市体检工作相关项目经验，提供近三年独立完成的城市体检项目合同及成果扫描件</w:t>
      </w:r>
      <w:r>
        <w:rPr>
          <w:rFonts w:hint="eastAsia" w:ascii="仿宋_GB2312" w:hAnsi="仿宋_GB2312" w:eastAsia="仿宋_GB2312" w:cs="仿宋_GB2312"/>
          <w:bCs/>
          <w:sz w:val="32"/>
          <w:szCs w:val="32"/>
          <w:lang w:eastAsia="zh-CN"/>
        </w:rPr>
        <w:t>；</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需回避机构：无</w:t>
      </w:r>
      <w:r>
        <w:rPr>
          <w:rFonts w:hint="eastAsia" w:ascii="仿宋_GB2312" w:hAnsi="仿宋_GB2312" w:eastAsia="仿宋_GB2312" w:cs="仿宋_GB2312"/>
          <w:bCs/>
          <w:sz w:val="32"/>
          <w:szCs w:val="32"/>
          <w:lang w:eastAsia="zh-CN"/>
        </w:rPr>
        <w:t>。</w:t>
      </w:r>
    </w:p>
    <w:p>
      <w:pPr>
        <w:spacing w:line="600" w:lineRule="exact"/>
        <w:ind w:firstLine="640"/>
        <w:rPr>
          <w:rFonts w:hint="eastAsia" w:ascii="黑体" w:hAnsi="黑体" w:eastAsia="黑体" w:cs="黑体"/>
          <w:bCs/>
          <w:sz w:val="32"/>
          <w:szCs w:val="32"/>
          <w:lang w:eastAsia="zh-CN"/>
        </w:rPr>
      </w:pPr>
      <w:r>
        <w:rPr>
          <w:rFonts w:hint="eastAsia" w:ascii="黑体" w:hAnsi="黑体" w:eastAsia="黑体" w:cs="黑体"/>
          <w:bCs/>
          <w:sz w:val="32"/>
          <w:szCs w:val="32"/>
        </w:rPr>
        <w:t>三、项目采购服务内容</w:t>
      </w:r>
    </w:p>
    <w:p>
      <w:pPr>
        <w:spacing w:line="240" w:lineRule="auto"/>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sz w:val="32"/>
          <w:szCs w:val="36"/>
          <w:lang w:val="en-US" w:eastAsia="zh-CN"/>
        </w:rPr>
        <w:t>按照部、省城市体检有关要求，</w:t>
      </w:r>
      <w:r>
        <w:rPr>
          <w:rFonts w:hint="eastAsia" w:ascii="仿宋_GB2312" w:hAnsi="仿宋_GB2312" w:eastAsia="仿宋_GB2312" w:cs="仿宋_GB2312"/>
          <w:sz w:val="32"/>
          <w:szCs w:val="36"/>
        </w:rPr>
        <w:t>围绕“</w:t>
      </w:r>
      <w:r>
        <w:rPr>
          <w:rFonts w:hint="eastAsia" w:ascii="仿宋_GB2312" w:hAnsi="仿宋_GB2312" w:eastAsia="仿宋_GB2312" w:cs="仿宋_GB2312"/>
          <w:sz w:val="32"/>
          <w:szCs w:val="36"/>
          <w:lang w:val="en-US" w:eastAsia="zh-CN"/>
        </w:rPr>
        <w:t>住房、小区（社区）、街区（街道）、城区（城市）</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个</w:t>
      </w:r>
      <w:r>
        <w:rPr>
          <w:rFonts w:hint="eastAsia" w:ascii="仿宋_GB2312" w:hAnsi="仿宋_GB2312" w:eastAsia="仿宋_GB2312" w:cs="仿宋_GB2312"/>
          <w:sz w:val="32"/>
          <w:szCs w:val="36"/>
          <w:lang w:val="en-US" w:eastAsia="zh-CN"/>
        </w:rPr>
        <w:t>维度，制定由“必选指标+特色指标”构成的韶关市2023年城市体检指标体系；</w:t>
      </w:r>
    </w:p>
    <w:p>
      <w:pPr>
        <w:pStyle w:val="2"/>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2.按照部、省城市体检有关要求，筛选确定</w:t>
      </w:r>
      <w:r>
        <w:rPr>
          <w:rFonts w:hint="eastAsia" w:ascii="仿宋_GB2312" w:hAnsi="仿宋_GB2312" w:eastAsia="仿宋_GB2312" w:cs="仿宋_GB2312"/>
          <w:bCs/>
          <w:sz w:val="32"/>
          <w:szCs w:val="32"/>
          <w:lang w:val="en-US" w:eastAsia="zh-CN"/>
        </w:rPr>
        <w:t>韶关市2023年城市体检</w:t>
      </w:r>
      <w:r>
        <w:rPr>
          <w:rFonts w:hint="eastAsia" w:ascii="仿宋_GB2312" w:hAnsi="仿宋_GB2312" w:eastAsia="仿宋_GB2312" w:cs="仿宋_GB2312"/>
          <w:sz w:val="32"/>
          <w:szCs w:val="36"/>
          <w:lang w:val="en-US" w:eastAsia="zh-CN"/>
        </w:rPr>
        <w:t>参检街道（1个）和参检社区（10个）；</w:t>
      </w:r>
    </w:p>
    <w:p>
      <w:pPr>
        <w:spacing w:line="24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3.根据部、省城市体检有关要求，结合韶关实际，制定完善韶关市2023年城市体检</w:t>
      </w:r>
      <w:r>
        <w:rPr>
          <w:rFonts w:hint="eastAsia" w:ascii="仿宋_GB2312" w:hAnsi="仿宋_GB2312" w:eastAsia="仿宋_GB2312" w:cs="仿宋_GB2312"/>
          <w:bCs/>
          <w:sz w:val="32"/>
          <w:szCs w:val="32"/>
        </w:rPr>
        <w:t>工作</w:t>
      </w:r>
      <w:r>
        <w:rPr>
          <w:rFonts w:hint="eastAsia" w:ascii="仿宋_GB2312" w:hAnsi="仿宋_GB2312" w:eastAsia="仿宋_GB2312" w:cs="仿宋_GB2312"/>
          <w:bCs/>
          <w:sz w:val="32"/>
          <w:szCs w:val="32"/>
          <w:lang w:eastAsia="zh-CN"/>
        </w:rPr>
        <w:t>实施</w:t>
      </w:r>
      <w:r>
        <w:rPr>
          <w:rFonts w:hint="eastAsia" w:ascii="仿宋_GB2312" w:hAnsi="仿宋_GB2312" w:eastAsia="仿宋_GB2312" w:cs="仿宋_GB2312"/>
          <w:bCs/>
          <w:sz w:val="32"/>
          <w:szCs w:val="32"/>
        </w:rPr>
        <w:t>方案</w:t>
      </w:r>
      <w:r>
        <w:rPr>
          <w:rFonts w:hint="eastAsia" w:ascii="仿宋_GB2312" w:hAnsi="仿宋_GB2312" w:eastAsia="仿宋_GB2312" w:cs="仿宋_GB2312"/>
          <w:bCs/>
          <w:sz w:val="32"/>
          <w:szCs w:val="32"/>
          <w:lang w:eastAsia="zh-CN"/>
        </w:rPr>
        <w:t>；</w:t>
      </w:r>
    </w:p>
    <w:p>
      <w:pPr>
        <w:pStyle w:val="2"/>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4.制定韶关市2023年城市体检住房、社区、街区、城区相关指标数据填报模板，并协助各区人民政府、市直相关部门开展城市体检指标相关数据资料的收集、报送；</w:t>
      </w:r>
    </w:p>
    <w:p>
      <w:pPr>
        <w:pStyle w:val="2"/>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5.依托大数据、地理信息等技术手段，为各区人民政府、市直相关部门提供城市体检指标计算基础资料和数据校核服务。</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四、服务要求</w:t>
      </w:r>
    </w:p>
    <w:p>
      <w:pPr>
        <w:pStyle w:val="2"/>
        <w:ind w:firstLine="31680"/>
        <w:rPr>
          <w:rFonts w:ascii="楷体_GB2312" w:hAnsi="楷体_GB2312" w:eastAsia="楷体_GB2312" w:cs="楷体_GB2312"/>
          <w:sz w:val="32"/>
          <w:szCs w:val="36"/>
        </w:rPr>
      </w:pPr>
      <w:r>
        <w:rPr>
          <w:rFonts w:hint="eastAsia" w:ascii="楷体_GB2312" w:hAnsi="楷体_GB2312" w:eastAsia="楷体_GB2312" w:cs="楷体_GB2312"/>
          <w:sz w:val="32"/>
          <w:szCs w:val="36"/>
        </w:rPr>
        <w:t>（一）技术要求</w:t>
      </w:r>
    </w:p>
    <w:p>
      <w:pPr>
        <w:pStyle w:val="2"/>
        <w:ind w:firstLine="31680"/>
        <w:rPr>
          <w:rFonts w:ascii="仿宋_GB2312" w:hAnsi="仿宋_GB2312" w:eastAsia="仿宋_GB2312" w:cs="仿宋_GB2312"/>
          <w:sz w:val="32"/>
          <w:szCs w:val="36"/>
        </w:rPr>
      </w:pPr>
      <w:r>
        <w:rPr>
          <w:rFonts w:ascii="仿宋_GB2312" w:hAnsi="仿宋_GB2312" w:eastAsia="仿宋_GB2312" w:cs="仿宋_GB2312"/>
          <w:sz w:val="32"/>
          <w:szCs w:val="36"/>
        </w:rPr>
        <w:t>1.</w:t>
      </w:r>
      <w:r>
        <w:rPr>
          <w:rFonts w:hint="eastAsia" w:ascii="仿宋_GB2312" w:hAnsi="仿宋_GB2312" w:eastAsia="仿宋_GB2312" w:cs="仿宋_GB2312"/>
          <w:sz w:val="32"/>
          <w:szCs w:val="36"/>
        </w:rPr>
        <w:t>在</w:t>
      </w:r>
      <w:r>
        <w:rPr>
          <w:rFonts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2</w:t>
      </w:r>
      <w:r>
        <w:rPr>
          <w:rFonts w:hint="eastAsia" w:ascii="仿宋_GB2312" w:hAnsi="仿宋_GB2312" w:eastAsia="仿宋_GB2312" w:cs="仿宋_GB2312"/>
          <w:sz w:val="32"/>
          <w:szCs w:val="36"/>
        </w:rPr>
        <w:t>年韶关市城市体检指标的基础上，根据部、省的指标相关要求并结合韶关市城乡规划建设管理重点和工作要求，进一步优化韶关市个性化体检指标体系。</w:t>
      </w:r>
    </w:p>
    <w:p>
      <w:pPr>
        <w:pStyle w:val="2"/>
        <w:ind w:firstLine="31680"/>
        <w:rPr>
          <w:rFonts w:ascii="仿宋_GB2312" w:hAnsi="仿宋_GB2312" w:eastAsia="仿宋_GB2312" w:cs="仿宋_GB2312"/>
          <w:sz w:val="32"/>
          <w:szCs w:val="36"/>
        </w:rPr>
      </w:pPr>
      <w:r>
        <w:rPr>
          <w:rFonts w:ascii="仿宋_GB2312" w:hAnsi="仿宋_GB2312" w:eastAsia="仿宋_GB2312" w:cs="仿宋_GB2312"/>
          <w:sz w:val="32"/>
          <w:szCs w:val="36"/>
        </w:rPr>
        <w:t>2.</w:t>
      </w:r>
      <w:r>
        <w:rPr>
          <w:rFonts w:hint="eastAsia" w:ascii="仿宋_GB2312" w:hAnsi="仿宋_GB2312" w:eastAsia="仿宋_GB2312" w:cs="仿宋_GB2312"/>
          <w:sz w:val="32"/>
          <w:szCs w:val="36"/>
        </w:rPr>
        <w:t>在建立城市体检特色指标体系的基础上，从各指标体系的定义、计算方式、参考标准以及数据来源等内容上为各填报部门提供技术支撑，包括数据采集、算法设定等。</w:t>
      </w:r>
    </w:p>
    <w:p>
      <w:pPr>
        <w:pStyle w:val="2"/>
        <w:ind w:firstLine="31680"/>
        <w:rPr>
          <w:rFonts w:ascii="楷体_GB2312" w:hAnsi="楷体_GB2312" w:eastAsia="楷体_GB2312" w:cs="楷体_GB2312"/>
          <w:sz w:val="32"/>
          <w:szCs w:val="36"/>
        </w:rPr>
      </w:pPr>
      <w:r>
        <w:rPr>
          <w:rFonts w:hint="eastAsia" w:ascii="楷体_GB2312" w:hAnsi="楷体_GB2312" w:eastAsia="楷体_GB2312" w:cs="楷体_GB2312"/>
          <w:sz w:val="32"/>
          <w:szCs w:val="36"/>
        </w:rPr>
        <w:t>（二）成果要求</w:t>
      </w:r>
    </w:p>
    <w:tbl>
      <w:tblPr>
        <w:tblStyle w:val="5"/>
        <w:tblW w:w="9127" w:type="dxa"/>
        <w:tblInd w:w="0" w:type="dxa"/>
        <w:tblLayout w:type="fixed"/>
        <w:tblCellMar>
          <w:top w:w="0" w:type="dxa"/>
          <w:left w:w="108" w:type="dxa"/>
          <w:bottom w:w="0" w:type="dxa"/>
          <w:right w:w="108" w:type="dxa"/>
        </w:tblCellMar>
      </w:tblPr>
      <w:tblGrid>
        <w:gridCol w:w="1020"/>
        <w:gridCol w:w="4288"/>
        <w:gridCol w:w="3819"/>
      </w:tblGrid>
      <w:tr>
        <w:tblPrEx>
          <w:tblCellMar>
            <w:top w:w="0" w:type="dxa"/>
            <w:left w:w="108" w:type="dxa"/>
            <w:bottom w:w="0" w:type="dxa"/>
            <w:right w:w="108" w:type="dxa"/>
          </w:tblCellMar>
        </w:tblPrEx>
        <w:trPr>
          <w:trHeight w:val="44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b/>
                <w:bCs/>
                <w:color w:val="000000"/>
                <w:sz w:val="28"/>
                <w:szCs w:val="28"/>
              </w:rPr>
            </w:pPr>
            <w:r>
              <w:rPr>
                <w:rFonts w:hint="eastAsia" w:ascii="宋体" w:hAnsi="宋体"/>
                <w:b/>
                <w:bCs/>
                <w:color w:val="000000"/>
                <w:kern w:val="0"/>
                <w:sz w:val="28"/>
                <w:szCs w:val="28"/>
              </w:rPr>
              <w:t>序号</w:t>
            </w:r>
          </w:p>
        </w:tc>
        <w:tc>
          <w:tcPr>
            <w:tcW w:w="4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b/>
                <w:bCs/>
                <w:color w:val="000000"/>
                <w:sz w:val="28"/>
                <w:szCs w:val="28"/>
              </w:rPr>
            </w:pPr>
            <w:r>
              <w:rPr>
                <w:rFonts w:hint="eastAsia" w:ascii="宋体" w:hAnsi="宋体"/>
                <w:b/>
                <w:bCs/>
                <w:color w:val="000000"/>
                <w:kern w:val="0"/>
                <w:sz w:val="28"/>
                <w:szCs w:val="28"/>
              </w:rPr>
              <w:t>成果名称</w:t>
            </w:r>
          </w:p>
        </w:tc>
        <w:tc>
          <w:tcPr>
            <w:tcW w:w="38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b/>
                <w:bCs/>
                <w:color w:val="000000"/>
                <w:sz w:val="28"/>
                <w:szCs w:val="28"/>
              </w:rPr>
            </w:pPr>
            <w:r>
              <w:rPr>
                <w:rFonts w:hint="eastAsia" w:ascii="宋体" w:hAnsi="宋体"/>
                <w:b/>
                <w:bCs/>
                <w:color w:val="000000"/>
                <w:kern w:val="0"/>
                <w:sz w:val="28"/>
                <w:szCs w:val="28"/>
              </w:rPr>
              <w:t>规格</w:t>
            </w:r>
          </w:p>
        </w:tc>
      </w:tr>
      <w:tr>
        <w:tblPrEx>
          <w:tblCellMar>
            <w:top w:w="0" w:type="dxa"/>
            <w:left w:w="108" w:type="dxa"/>
            <w:bottom w:w="0" w:type="dxa"/>
            <w:right w:w="108" w:type="dxa"/>
          </w:tblCellMar>
        </w:tblPrEx>
        <w:trPr>
          <w:trHeight w:val="44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olor w:val="000000"/>
                <w:kern w:val="0"/>
                <w:sz w:val="28"/>
                <w:szCs w:val="28"/>
              </w:rPr>
            </w:pPr>
            <w:r>
              <w:rPr>
                <w:rFonts w:ascii="宋体" w:hAnsi="宋体"/>
                <w:color w:val="000000"/>
                <w:kern w:val="0"/>
                <w:sz w:val="28"/>
                <w:szCs w:val="28"/>
              </w:rPr>
              <w:t>1</w:t>
            </w:r>
          </w:p>
        </w:tc>
        <w:tc>
          <w:tcPr>
            <w:tcW w:w="42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olor w:val="000000"/>
                <w:kern w:val="0"/>
                <w:sz w:val="28"/>
                <w:szCs w:val="28"/>
              </w:rPr>
            </w:pPr>
            <w:r>
              <w:rPr>
                <w:rFonts w:hint="eastAsia" w:ascii="宋体" w:hAnsi="宋体"/>
                <w:color w:val="000000"/>
                <w:kern w:val="0"/>
                <w:sz w:val="28"/>
                <w:szCs w:val="28"/>
              </w:rPr>
              <w:t>韶关市</w:t>
            </w:r>
            <w:r>
              <w:rPr>
                <w:rFonts w:ascii="宋体" w:hAnsi="宋体"/>
                <w:color w:val="000000"/>
                <w:kern w:val="0"/>
                <w:sz w:val="28"/>
                <w:szCs w:val="28"/>
              </w:rPr>
              <w:t>202</w:t>
            </w:r>
            <w:r>
              <w:rPr>
                <w:rFonts w:hint="eastAsia" w:ascii="宋体" w:hAnsi="宋体"/>
                <w:color w:val="000000"/>
                <w:kern w:val="0"/>
                <w:sz w:val="28"/>
                <w:szCs w:val="28"/>
                <w:lang w:val="en-US" w:eastAsia="zh-CN"/>
              </w:rPr>
              <w:t>3</w:t>
            </w:r>
            <w:r>
              <w:rPr>
                <w:rFonts w:hint="eastAsia" w:ascii="宋体" w:hAnsi="宋体"/>
                <w:color w:val="000000"/>
                <w:kern w:val="0"/>
                <w:sz w:val="28"/>
                <w:szCs w:val="28"/>
              </w:rPr>
              <w:t>年城市体检报告</w:t>
            </w:r>
          </w:p>
        </w:tc>
        <w:tc>
          <w:tcPr>
            <w:tcW w:w="381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olor w:val="000000"/>
                <w:kern w:val="0"/>
                <w:sz w:val="28"/>
                <w:szCs w:val="28"/>
              </w:rPr>
            </w:pPr>
            <w:r>
              <w:rPr>
                <w:rFonts w:hint="eastAsia" w:ascii="宋体" w:hAnsi="宋体"/>
                <w:color w:val="000000"/>
                <w:kern w:val="0"/>
                <w:sz w:val="28"/>
                <w:szCs w:val="28"/>
              </w:rPr>
              <w:t>纸质文档成果及对应电子版</w:t>
            </w:r>
          </w:p>
        </w:tc>
      </w:tr>
      <w:tr>
        <w:tblPrEx>
          <w:tblCellMar>
            <w:top w:w="0" w:type="dxa"/>
            <w:left w:w="108" w:type="dxa"/>
            <w:bottom w:w="0" w:type="dxa"/>
            <w:right w:w="108" w:type="dxa"/>
          </w:tblCellMar>
        </w:tblPrEx>
        <w:trPr>
          <w:trHeight w:val="44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olor w:val="000000"/>
                <w:kern w:val="0"/>
                <w:sz w:val="28"/>
                <w:szCs w:val="28"/>
              </w:rPr>
            </w:pPr>
            <w:r>
              <w:rPr>
                <w:rFonts w:ascii="宋体" w:hAnsi="宋体"/>
                <w:color w:val="000000"/>
                <w:kern w:val="0"/>
                <w:sz w:val="28"/>
                <w:szCs w:val="28"/>
              </w:rPr>
              <w:t>2</w:t>
            </w:r>
          </w:p>
        </w:tc>
        <w:tc>
          <w:tcPr>
            <w:tcW w:w="42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olor w:val="000000"/>
                <w:kern w:val="0"/>
                <w:sz w:val="28"/>
                <w:szCs w:val="28"/>
              </w:rPr>
            </w:pPr>
            <w:r>
              <w:rPr>
                <w:rFonts w:hint="eastAsia" w:ascii="宋体" w:hAnsi="宋体"/>
                <w:color w:val="000000"/>
                <w:kern w:val="0"/>
                <w:sz w:val="28"/>
                <w:szCs w:val="28"/>
              </w:rPr>
              <w:t>城市体检数据表</w:t>
            </w:r>
          </w:p>
        </w:tc>
        <w:tc>
          <w:tcPr>
            <w:tcW w:w="381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olor w:val="000000"/>
                <w:kern w:val="0"/>
                <w:sz w:val="28"/>
                <w:szCs w:val="28"/>
              </w:rPr>
            </w:pPr>
            <w:r>
              <w:rPr>
                <w:rFonts w:hint="eastAsia" w:ascii="宋体" w:hAnsi="宋体"/>
                <w:color w:val="000000"/>
                <w:kern w:val="0"/>
                <w:sz w:val="28"/>
                <w:szCs w:val="28"/>
              </w:rPr>
              <w:t>电子版</w:t>
            </w:r>
          </w:p>
        </w:tc>
      </w:tr>
    </w:tbl>
    <w:p>
      <w:pPr>
        <w:spacing w:line="600" w:lineRule="exact"/>
        <w:ind w:firstLine="640"/>
        <w:rPr>
          <w:rFonts w:ascii="黑体" w:hAnsi="黑体" w:eastAsia="黑体" w:cs="黑体"/>
          <w:bCs/>
          <w:sz w:val="32"/>
          <w:szCs w:val="32"/>
        </w:rPr>
      </w:pPr>
      <w:r>
        <w:rPr>
          <w:rFonts w:hint="eastAsia" w:ascii="黑体" w:hAnsi="黑体" w:eastAsia="黑体" w:cs="黑体"/>
          <w:bCs/>
          <w:sz w:val="32"/>
          <w:szCs w:val="32"/>
        </w:rPr>
        <w:t>五、合同履行地点</w:t>
      </w:r>
    </w:p>
    <w:p>
      <w:pPr>
        <w:pStyle w:val="2"/>
        <w:ind w:firstLine="31680"/>
        <w:rPr>
          <w:rFonts w:ascii="仿宋_GB2312" w:hAnsi="仿宋_GB2312" w:eastAsia="仿宋_GB2312" w:cs="仿宋_GB2312"/>
          <w:sz w:val="32"/>
          <w:szCs w:val="36"/>
        </w:rPr>
      </w:pPr>
      <w:r>
        <w:rPr>
          <w:rFonts w:hint="eastAsia" w:ascii="仿宋_GB2312" w:hAnsi="仿宋_GB2312" w:eastAsia="仿宋_GB2312" w:cs="仿宋_GB2312"/>
          <w:sz w:val="32"/>
          <w:szCs w:val="36"/>
        </w:rPr>
        <w:t>采购人指定地点。</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、服务时间</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限期在</w:t>
      </w:r>
      <w:r>
        <w:rPr>
          <w:rFonts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日前完成全部采购服务内容。</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、验收</w:t>
      </w:r>
    </w:p>
    <w:p>
      <w:pPr>
        <w:pStyle w:val="2"/>
        <w:ind w:firstLine="31680"/>
        <w:rPr>
          <w:rFonts w:ascii="仿宋_GB2312" w:hAnsi="仿宋_GB2312" w:eastAsia="仿宋_GB2312" w:cs="仿宋_GB2312"/>
          <w:sz w:val="32"/>
          <w:szCs w:val="36"/>
        </w:rPr>
      </w:pPr>
      <w:r>
        <w:rPr>
          <w:rFonts w:hint="eastAsia" w:ascii="仿宋_GB2312" w:hAnsi="仿宋_GB2312" w:eastAsia="仿宋_GB2312" w:cs="仿宋_GB2312"/>
          <w:sz w:val="32"/>
          <w:szCs w:val="36"/>
        </w:rPr>
        <w:t>供应商向采购人提供年度最终成果的前</w:t>
      </w:r>
      <w:r>
        <w:rPr>
          <w:rFonts w:ascii="仿宋_GB2312" w:hAnsi="仿宋_GB2312" w:eastAsia="仿宋_GB2312" w:cs="仿宋_GB2312"/>
          <w:sz w:val="32"/>
          <w:szCs w:val="36"/>
        </w:rPr>
        <w:t>20</w:t>
      </w:r>
      <w:r>
        <w:rPr>
          <w:rFonts w:hint="eastAsia" w:ascii="仿宋_GB2312" w:hAnsi="仿宋_GB2312" w:eastAsia="仿宋_GB2312" w:cs="仿宋_GB2312"/>
          <w:sz w:val="32"/>
          <w:szCs w:val="36"/>
        </w:rPr>
        <w:t>日内，供应商以邀请专家的形式对年度最终成果《韶关市</w:t>
      </w:r>
      <w:r>
        <w:rPr>
          <w:rFonts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年城市体检报告》进行年度汇报，专家对供应商的汇报进行意见汇总。采购人根据报告的各项指标的客观性和完整程度、相应的对策建议措施、专家意见及项目实际履约情况综合评估验收。韶关市城市体检评估系统通过相关行业专家进行评审验收，成果需符合国家相关规范规定和技术标准。</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、付款方式</w:t>
      </w:r>
    </w:p>
    <w:p>
      <w:pPr>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供应商完成《韶关市</w:t>
      </w:r>
      <w:r>
        <w:rPr>
          <w:rFonts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年城市体检报告》编制，并经采购人确认之日起</w:t>
      </w:r>
      <w:r>
        <w:rPr>
          <w:rFonts w:ascii="仿宋_GB2312" w:hAnsi="仿宋_GB2312" w:eastAsia="仿宋_GB2312" w:cs="仿宋_GB2312"/>
          <w:sz w:val="32"/>
          <w:szCs w:val="36"/>
        </w:rPr>
        <w:t>10</w:t>
      </w:r>
      <w:r>
        <w:rPr>
          <w:rFonts w:hint="eastAsia" w:ascii="仿宋_GB2312" w:hAnsi="仿宋_GB2312" w:eastAsia="仿宋_GB2312" w:cs="仿宋_GB2312"/>
          <w:sz w:val="32"/>
          <w:szCs w:val="36"/>
        </w:rPr>
        <w:t>个工作日内，采购人向供应商支付合同总金额，款项支付前，供应商须向采购人出具合法有效完整的完税发票及凭证资料。否则采购人有权暂缓付款，并不承担违约责任。</w:t>
      </w:r>
    </w:p>
    <w:p>
      <w:pPr>
        <w:spacing w:line="600" w:lineRule="exact"/>
        <w:ind w:firstLine="640"/>
        <w:rPr>
          <w:rFonts w:ascii="黑体" w:hAnsi="黑体" w:eastAsia="黑体" w:cs="黑体"/>
          <w:bCs/>
          <w:sz w:val="32"/>
          <w:szCs w:val="32"/>
        </w:rPr>
      </w:pPr>
      <w:r>
        <w:rPr>
          <w:rFonts w:hint="eastAsia" w:ascii="黑体" w:hAnsi="黑体" w:eastAsia="黑体" w:cs="黑体"/>
          <w:bCs/>
          <w:sz w:val="32"/>
          <w:szCs w:val="32"/>
          <w:lang w:eastAsia="zh-CN"/>
        </w:rPr>
        <w:t>九</w:t>
      </w:r>
      <w:r>
        <w:rPr>
          <w:rFonts w:hint="eastAsia" w:ascii="黑体" w:hAnsi="黑体" w:eastAsia="黑体" w:cs="黑体"/>
          <w:bCs/>
          <w:sz w:val="32"/>
          <w:szCs w:val="32"/>
        </w:rPr>
        <w:t>、违约责任</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（一）当事人一方不履行合同义务或者履行合同义务不符合约定的，应当承担继续履行、采取补救措施或者赔偿损失等违约责任。</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（二）当事人一方未按照约定支付合同款的，对方可以要求其支付合同款。</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（三）当事人可以约定一方违约时应当根据违约情况向对方支付一定数额的违约金，也可以约定因违约产生的损失赔偿额的计算方法。当事人就迟延履行约定违约金的，违约方支付违约金后，还应当履行债务。</w:t>
      </w:r>
    </w:p>
    <w:p>
      <w:pPr>
        <w:spacing w:line="600" w:lineRule="exact"/>
        <w:ind w:firstLine="640"/>
        <w:rPr>
          <w:rFonts w:ascii="仿宋_GB2312" w:hAnsi="仿宋_GB2312" w:eastAsia="仿宋_GB2312" w:cs="仿宋_GB2312"/>
          <w:bCs/>
          <w:sz w:val="32"/>
          <w:szCs w:val="32"/>
        </w:rPr>
      </w:pPr>
    </w:p>
    <w:p>
      <w:pPr>
        <w:pStyle w:val="2"/>
        <w:ind w:firstLine="31680"/>
      </w:pPr>
    </w:p>
    <w:p>
      <w:pPr>
        <w:spacing w:line="600" w:lineRule="exact"/>
        <w:ind w:firstLine="640"/>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韶关市住房和城乡建设管理局</w:t>
      </w:r>
    </w:p>
    <w:p>
      <w:pPr>
        <w:wordWrap w:val="0"/>
        <w:spacing w:line="600" w:lineRule="exact"/>
        <w:ind w:firstLine="5126" w:firstLineChars="1602"/>
        <w:rPr>
          <w:rFonts w:ascii="仿宋_GB2312" w:hAnsi="仿宋_GB2312" w:eastAsia="仿宋_GB2312" w:cs="仿宋_GB2312"/>
          <w:bCs/>
          <w:sz w:val="32"/>
          <w:szCs w:val="32"/>
        </w:rPr>
      </w:pPr>
      <w:r>
        <w:rPr>
          <w:rFonts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13</w:t>
      </w:r>
      <w:bookmarkStart w:id="0" w:name="_GoBack"/>
      <w:bookmarkEnd w:id="0"/>
      <w:r>
        <w:rPr>
          <w:rFonts w:hint="eastAsia" w:ascii="仿宋_GB2312" w:hAnsi="仿宋_GB2312" w:eastAsia="仿宋_GB2312" w:cs="仿宋_GB2312"/>
          <w:bCs/>
          <w:sz w:val="32"/>
          <w:szCs w:val="32"/>
        </w:rPr>
        <w:t>日</w:t>
      </w:r>
      <w:r>
        <w:rPr>
          <w:rFonts w:ascii="仿宋_GB2312" w:hAnsi="仿宋_GB2312" w:eastAsia="仿宋_GB2312" w:cs="仿宋_GB2312"/>
          <w:bCs/>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4B213-D415-4E43-BF1C-2D4656B135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4C57686-3D34-43A8-A08B-744620567A7E}"/>
  </w:font>
  <w:font w:name="方正小标宋简体">
    <w:panose1 w:val="03000509000000000000"/>
    <w:charset w:val="86"/>
    <w:family w:val="auto"/>
    <w:pitch w:val="default"/>
    <w:sig w:usb0="00000001" w:usb1="080E0000" w:usb2="00000000" w:usb3="00000000" w:csb0="00040000" w:csb1="00000000"/>
    <w:embedRegular r:id="rId3" w:fontKey="{DC08606D-D3F4-4833-BB79-7545F3001444}"/>
  </w:font>
  <w:font w:name="仿宋_GB2312">
    <w:panose1 w:val="02010609030101010101"/>
    <w:charset w:val="86"/>
    <w:family w:val="auto"/>
    <w:pitch w:val="default"/>
    <w:sig w:usb0="00000001" w:usb1="080E0000" w:usb2="00000000" w:usb3="00000000" w:csb0="00040000" w:csb1="00000000"/>
    <w:embedRegular r:id="rId4" w:fontKey="{C3E72708-DCDD-4857-B851-013F1E0D16CF}"/>
  </w:font>
  <w:font w:name="楷体_GB2312">
    <w:panose1 w:val="02010609030101010101"/>
    <w:charset w:val="86"/>
    <w:family w:val="auto"/>
    <w:pitch w:val="default"/>
    <w:sig w:usb0="00000001" w:usb1="080E0000" w:usb2="00000000" w:usb3="00000000" w:csb0="00040000" w:csb1="00000000"/>
    <w:embedRegular r:id="rId5" w:fontKey="{A13B7A66-BF05-49DB-ADE1-394FB7841C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666115"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115" cy="243840"/>
                      </a:xfrm>
                      <a:prstGeom prst="rect">
                        <a:avLst/>
                      </a:prstGeom>
                      <a:noFill/>
                      <a:ln w="6350">
                        <a:noFill/>
                      </a:ln>
                    </wps:spPr>
                    <wps:txbx>
                      <w:txbxContent>
                        <w:p>
                          <w:pPr>
                            <w:pStyle w:val="3"/>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8.2pt;height:19.2pt;width:52.45pt;mso-position-horizontal:outside;mso-position-horizontal-relative:margin;z-index:251659264;mso-width-relative:page;mso-height-relative:page;" filled="f" stroked="f" coordsize="21600,21600" o:gfxdata="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9Sv17WAAAABwEAAA8AAAAAAAAAAQAgAAAAIgAAAGRycy9kb3ducmV2Lnht&#10;bFBLAQIUABQAAAAIAIdO4kD9l5GtwgEAAHoDAAAOAAAAAAAAAAEAIAAAACUBAABkcnMvZTJvRG9j&#10;LnhtbFBLBQYAAAAABgAGAFkBAABZBQAAAAA=&#10;">
              <v:fill on="f" focussize="0,0"/>
              <v:stroke on="f" weight="0.5pt"/>
              <v:imagedata o:title=""/>
              <o:lock v:ext="edit" aspectratio="f"/>
              <v:textbox inset="0mm,0mm,0mm,0mm">
                <w:txbxContent>
                  <w:p>
                    <w:pPr>
                      <w:pStyle w:val="3"/>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M2Y1NTlmODIyYTQ4ZWUxMDViNGU4ZDYyZTlhNzcifQ=="/>
  </w:docVars>
  <w:rsids>
    <w:rsidRoot w:val="7C814D08"/>
    <w:rsid w:val="03ED45F5"/>
    <w:rsid w:val="15D43E5C"/>
    <w:rsid w:val="17BC611F"/>
    <w:rsid w:val="4EE41591"/>
    <w:rsid w:val="7C81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2023-11-08T02:15:00Z</dcterms:created>
  <dc:creator>榮幸Leslieོ</dc:creator>
  <cp:lastModifiedBy>_</cp:lastModifiedBy>
  <dcterms:modified xsi:type="dcterms:W3CDTF">2023-11-13T08:43:24Z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9081155799E147E4BC3EF8A9ACE15E87_11</vt:lpwstr>
  </property>
</Properties>
</file>